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ind w:firstLine="8"/>
        <w:spacing w:after="0" w:line="270"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43180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32"/>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84" w:lineRule="exact"/>
        <w:rPr>
          <w:sz w:val="24"/>
          <w:szCs w:val="24"/>
          <w:color w:val="auto"/>
        </w:rPr>
      </w:pPr>
    </w:p>
    <w:p>
      <w:pPr>
        <w:jc w:val="both"/>
        <w:ind w:firstLine="224"/>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4" w:lineRule="exact"/>
        <w:rPr>
          <w:sz w:val="24"/>
          <w:szCs w:val="24"/>
          <w:color w:val="auto"/>
        </w:rPr>
      </w:pPr>
    </w:p>
    <w:p>
      <w:pPr>
        <w:ind w:right="420"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60" w:right="3300" w:firstLine="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2024, MasTec, Inc. had 79,220,966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 ENDED JUNE 30, 2024</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24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Part I. FINANCIAL INFORMATION</w:t>
            </w:r>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5640" w:type="dxa"/>
            <w:vAlign w:val="bottom"/>
            <w:gridSpan w:val="3"/>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24</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35</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36</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38</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39</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3" w:right="47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5,458,774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4,844,274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83,987</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340,069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112,108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63,112</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(105,592)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41,800</w:t>
            </w:r>
          </w:p>
        </w:tc>
      </w:tr>
      <w:tr>
        <w:trPr>
          <w:trHeight w:val="207"/>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(63,792)</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(64,998)</w:t>
            </w:r>
          </w:p>
        </w:tc>
      </w:tr>
      <w:tr>
        <w:trPr>
          <w:trHeight w:val="239"/>
        </w:trPr>
        <w:tc>
          <w:tcPr>
            <w:tcW w:w="6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(Note 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77,306</w:t>
            </w:r>
          </w:p>
        </w:tc>
      </w:tr>
      <w:tr>
        <w:trPr>
          <w:trHeight w:val="145"/>
        </w:trPr>
        <w:tc>
          <w:tcPr>
            <w:tcW w:w="6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77,306</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gains on investment activity, net of tax</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(61,714)</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0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 (loss)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(62,920)</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1,756,381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3,477,064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3,974,253</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2,126,366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784,260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425,244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418,485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8,678,986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198,943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184,621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2,747,909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2,837,219</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2,359,637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2,888,058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390,399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243,701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5,944,879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6,652,250</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- 99,044,551 and 99,093,134 (including</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1,321,507 and 1,504,996 of unvested stock awards) as of June 30, 2024 and December 31, 2023, respectively</w:t>
            </w: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1,263,360</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2,145,793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19,813,055 shares as of both June 30, 2024 and December 31, 2023.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8,678,986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June 30, 2024</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99,272,155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1,270,291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2,104,613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2,674,264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$2,690,024</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0" w:type="dxa"/>
            <w:vAlign w:val="bottom"/>
          </w:tcPr>
          <w:p>
            <w:pPr>
              <w:spacing w:after="0"/>
              <w:rPr>
                <w:sz w:val="1"/>
                <w:szCs w:val="1"/>
                <w:color w:val="auto"/>
              </w:rPr>
            </w:pPr>
          </w:p>
        </w:tc>
      </w:tr>
      <w:tr>
        <w:trPr>
          <w:trHeight w:val="24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99,044,551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r>
        <w:trPr>
          <w:trHeight w:val="239"/>
        </w:trPr>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June 30, 2023</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98,674,997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1,235,608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2,115,202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(54,460)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2,646,304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$2,647,632</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16,754</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assumption of non-</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0" w:type="dxa"/>
            <w:vAlign w:val="bottom"/>
          </w:tcPr>
          <w:p>
            <w:pPr>
              <w:spacing w:after="0"/>
              <w:rPr>
                <w:sz w:val="1"/>
                <w:szCs w:val="1"/>
                <w:color w:val="auto"/>
              </w:rPr>
            </w:pPr>
          </w:p>
        </w:tc>
      </w:tr>
      <w:tr>
        <w:trPr>
          <w:trHeight w:val="207"/>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98,674,249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1,247,231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2,130,744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2,679,052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$2,688,420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6"/>
                <w:szCs w:val="16"/>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99,093,134</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1,263,360</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2,145,793</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assumption of non-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99,044,551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98,615,105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(19,933,055)</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(663,910)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1,246,590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2,195,742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2,737,329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$2,741,187</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non-controlling</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assumption of non-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0" w:type="dxa"/>
            <w:vAlign w:val="bottom"/>
          </w:tcPr>
          <w:p>
            <w:pPr>
              <w:spacing w:after="0"/>
              <w:rPr>
                <w:sz w:val="1"/>
                <w:szCs w:val="1"/>
                <w:color w:val="auto"/>
              </w:rPr>
            </w:pPr>
          </w:p>
        </w:tc>
      </w:tr>
      <w:tr>
        <w:trPr>
          <w:trHeight w:val="207"/>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98,674,249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(19,813,055)</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1,247,231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2,130,744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2,679,052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$2,688,420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210,285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 from deferred income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on sales and impairments of assets,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items,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(204,453)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(97,910)</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(119,067)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(141,460)</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1,687,400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credit facilities and term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(1,580,775)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5.900% senior notes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6.625% senior notes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non-controlling interests, including acquisition of interests and distributions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(579,078)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w:t>
            </w:r>
          </w:p>
        </w:tc>
        <w:tc>
          <w:tcPr>
            <w:tcW w:w="20" w:type="dxa"/>
            <w:vAlign w:val="bottom"/>
            <w:tcBorders>
              <w:bottom w:val="single" w:sz="8" w:color="auto"/>
            </w:tcBorders>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(250,687)</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370,592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119,905</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104,622</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111,969</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 and other financing arrangements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84,323</w:t>
            </w:r>
          </w:p>
        </w:tc>
        <w:tc>
          <w:tcPr>
            <w:tcW w:w="20" w:type="dxa"/>
            <w:vAlign w:val="bottom"/>
          </w:tcPr>
          <w:p>
            <w:pPr>
              <w:spacing w:after="0"/>
              <w:rPr>
                <w:sz w:val="18"/>
                <w:szCs w:val="18"/>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2"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Oil and Gas; and (5) Other.</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2023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2023 contained in the Company’s 2023 Annual Report on Form 10-K (the “2023 Form 10-K”). In management’s opinion, all normal and recurring adjustments considered necessary for a fair statement of the financial position, results of operations and cash flows for the periods presented have been included.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40% and 43% of consolidated revenue for the three month periods ended June 30, 2024 and 2023, respectively, and totaled 40% and 45% for the six month periods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2% of consolidated revenue for both the three and six month periods ended June 30, 2024, and totaled approximately 3% for both the three and six month periods ended June 30, 2023.</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total contract transaction price and cost estimation processes used for recognizing revenue over time under the cost-to-cost method is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determined based on management’s estimates. For the six month periods ended June 30, 2024 and 2023, project profit was affected by less than 5% as a result of changes in contract estimates included in projects that were in process as of December 31, 2023 and 2022.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0.4% and 1.5% for the three month periods ended June 30, 2024 and 2023, respectively, and such net changes positively affected revenue by approximately 0.2% and 0.6% for the six month periods ended June 30, 2024 and 2023, respectively.</w:t>
      </w:r>
    </w:p>
    <w:p>
      <w:pPr>
        <w:spacing w:after="0" w:line="2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spacing w:after="0" w:line="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2024, the amount of the Company’s remaining performance obligations was $9.3 billion. Based on current expectations, the Company anticipates it will recognize approximately $4.2 billion, or 45.0%, of its remaining performance obligations as revenue during 2024, with the majority of the remaining balance expected to be recognized over the subsequent two year period.</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June 30, 2024 and December 31, 2023, the Company’s contract transaction prices included approximately $175 million and $194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June 30, 2024 and December 31, 2023,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2023 Form 10-K.</w:t>
      </w:r>
    </w:p>
    <w:p>
      <w:pPr>
        <w:spacing w:after="0" w:line="11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August 2023, the FASB issued ASU 2023-05, </w:t>
      </w:r>
      <w:r>
        <w:rPr>
          <w:rFonts w:ascii="Times New Roman" w:cs="Times New Roman" w:eastAsia="Times New Roman" w:hAnsi="Times New Roman"/>
          <w:sz w:val="16"/>
          <w:szCs w:val="16"/>
          <w:i w:val="1"/>
          <w:iCs w:val="1"/>
          <w:color w:val="auto"/>
        </w:rPr>
        <w:t>Business Combinations—Joint Venture Formations (Subtopic 805-60): Recognition and Initial Measurement</w:t>
      </w:r>
      <w:r>
        <w:rPr>
          <w:rFonts w:ascii="Times New Roman" w:cs="Times New Roman" w:eastAsia="Times New Roman" w:hAnsi="Times New Roman"/>
          <w:sz w:val="16"/>
          <w:szCs w:val="16"/>
          <w:color w:val="auto"/>
        </w:rPr>
        <w:t xml:space="preserve"> (“ASU 2023-05”) to clarify existing guidance and reduce diversity in practice in the accounting for joint ventures. ASU 2023-05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proportionately consolidated joint ventures. ASU 2023-05 is effective prospectively for all joint ventures with a formation date on or after January 1, 2025, with early adoption permitted on a retrospective basis for joint ventures formed before January 1, 2025. The Company is currently evaluating the effects of this ASU.</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to</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enhance segment reporting disclosures. ASU 2023-07 requires disclosure of significant segment expenses that are regularly provided to the chief operating decision maker (CODM) and included within each reported measure of segment profit or loss, as well as disclosure of the total amount and description of other segment items by reportable segment.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72" w:lineRule="auto"/>
        <w:rPr>
          <w:sz w:val="20"/>
          <w:szCs w:val="20"/>
          <w:color w:val="auto"/>
        </w:rPr>
      </w:pPr>
      <w:r>
        <w:rPr>
          <w:rFonts w:ascii="Times New Roman" w:cs="Times New Roman" w:eastAsia="Times New Roman" w:hAnsi="Times New Roman"/>
          <w:sz w:val="16"/>
          <w:szCs w:val="16"/>
          <w:color w:val="auto"/>
        </w:rPr>
        <w:t>pertaining to reportable segment profit or loss and assets will also be required for interim periods. ASU 2023-07 is effective for fiscal years beginning after December 15, 2023, and for interim periods within fiscal years beginning after December 15, 2024, with retrospective application. Early adoption is permitted. The Company is currently evaluating the effect of this ASU on its segment disclosures.</w:t>
      </w:r>
    </w:p>
    <w:p>
      <w:pPr>
        <w:spacing w:after="0" w:line="6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spacing w:after="0" w:line="6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In March 2024, the Securities and Exchange Commission (“SEC”) adopted final rules under SEC Release No. 33-11275, </w:t>
      </w:r>
      <w:r>
        <w:rPr>
          <w:rFonts w:ascii="Times New Roman" w:cs="Times New Roman" w:eastAsia="Times New Roman" w:hAnsi="Times New Roman"/>
          <w:sz w:val="16"/>
          <w:szCs w:val="16"/>
          <w:i w:val="1"/>
          <w:iCs w:val="1"/>
          <w:color w:val="auto"/>
        </w:rPr>
        <w:t>The Enhancement and Standardization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Climate-Related Disclosures for Investors</w:t>
      </w:r>
      <w:r>
        <w:rPr>
          <w:rFonts w:ascii="Times New Roman" w:cs="Times New Roman" w:eastAsia="Times New Roman" w:hAnsi="Times New Roman"/>
          <w:sz w:val="16"/>
          <w:szCs w:val="16"/>
          <w:color w:val="auto"/>
        </w:rPr>
        <w:t>, which requires registrants to provide certain climate-related disclosures in registration statements and annual reports. The new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are scheduled to begin to phase in for fiscal years beginning on or after January 1, 2025, on a prospective basis. On April 4, 2024, the SEC voluntarily stayed implementation of the final rules pending certain legal challenges to the rules. The Company is currently monitoring developments related to the rules and evaluating their potential effect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MasTec:</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77,306</w:t>
            </w:r>
          </w:p>
        </w:tc>
      </w:tr>
      <w:tr>
        <w:trPr>
          <w:trHeight w:val="219"/>
        </w:trPr>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78,860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77,306</w:t>
            </w:r>
          </w:p>
        </w:tc>
      </w:tr>
    </w:tbl>
    <w:p>
      <w:pPr>
        <w:spacing w:after="0" w:line="112" w:lineRule="exact"/>
        <w:rPr>
          <w:sz w:val="20"/>
          <w:szCs w:val="20"/>
          <w:color w:val="auto"/>
        </w:rPr>
      </w:pPr>
    </w:p>
    <w:p>
      <w:pPr>
        <w:ind w:left="340" w:hanging="332"/>
        <w:spacing w:after="0" w:line="302"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periods ended June 30, 2024 and 2023, anti-dilutive common stock equivalents totaled approximately 5,000 and 2,000 shares, respectively, and for the six month periods ended June 30, 2024 and 2023, such shares totaled approximately 929,000 and 1,147,000,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six month period ended June 30, 2024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0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200" w:type="dxa"/>
            <w:vAlign w:val="bottom"/>
          </w:tcPr>
          <w:p>
            <w:pPr>
              <w:spacing w:after="0"/>
              <w:rPr>
                <w:sz w:val="16"/>
                <w:szCs w:val="16"/>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Oil and Gas</w:t>
            </w:r>
          </w:p>
        </w:tc>
        <w:tc>
          <w:tcPr>
            <w:tcW w:w="140" w:type="dxa"/>
            <w:vAlign w:val="bottom"/>
          </w:tcPr>
          <w:p>
            <w:pPr>
              <w:spacing w:after="0"/>
              <w:rPr>
                <w:sz w:val="16"/>
                <w:szCs w:val="16"/>
                <w:color w:val="auto"/>
              </w:rPr>
            </w:pPr>
          </w:p>
        </w:tc>
        <w:tc>
          <w:tcPr>
            <w:tcW w:w="1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7"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2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Trade Names </w:t>
            </w:r>
            <w:r>
              <w:rPr>
                <w:rFonts w:ascii="Times New Roman" w:cs="Times New Roman" w:eastAsia="Times New Roman" w:hAnsi="Times New Roman"/>
                <w:sz w:val="21"/>
                <w:szCs w:val="21"/>
                <w:b w:val="1"/>
                <w:bCs w:val="1"/>
                <w:color w:val="auto"/>
                <w:vertAlign w:val="superscript"/>
              </w:rPr>
              <w:t>(a)</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07"/>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June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$34.5 million of non-amortizing trade names as of both June 30, 2024 and December 31, 2023.</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During the first quarter of 2024, the reporting units within the Power Delivery operating segment were restructured to more closely align with the segment’s end markets and to better correspond with the operational management reporting structure of the segment, including from the effects of the Company’s recent transformative acquisition efforts. Under the new reporting unit structure, each of the five components within the Power Delivery operating segment is a reporting unit. Management performed testing under the previous reporting unit structure and determined that no goodwill impairment existed, and under the new reporting unit structure the estimated fair values of all but one of the reporting units substantially exceeded their carrying values. A 100 basis point increase in the discount rate would not have resulted in any of the tested reporting units’ carrying values exceeding their fair values. As of March 31, 2024, the reporting unit that did not substantially exceed its carrying value had approximately $47.1 million of goodwill. This reporting unit’s estimated fair value exceeded its carrying value by approximately 16%. Significant assumptions used in testing this reporting unit included terminal values based on a terminal growth rate of 3%, 5 years of discounted cash flows prior to the terminal value, including revenue growth and EBITDA margin assumptions, and a weighted average discount rate of 12%.</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Additionally, no events occurred during the three month period ended June 30, 2024 that would indicate it was more likely than not that a goodwill impairment exists. 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and indefinite-lived intangible assets in the future.</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w:t>
      </w:r>
    </w:p>
    <w:p>
      <w:pPr>
        <w:spacing w:after="0" w:line="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26282A"/>
        </w:rPr>
        <w:t xml:space="preserve">2024 Acquisitions. </w:t>
      </w:r>
      <w:r>
        <w:rPr>
          <w:rFonts w:ascii="Times New Roman" w:cs="Times New Roman" w:eastAsia="Times New Roman" w:hAnsi="Times New Roman"/>
          <w:sz w:val="16"/>
          <w:szCs w:val="16"/>
          <w:color w:val="000000"/>
        </w:rPr>
        <w:t>In July 2024, MasTec acquired all of the equity interests of a construction company focused on underground utility infrastructure for industrial</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and municipal projects, with expertise in data center utility systems, for approximately $35 million in cash and a five year earn-out liability. The Company expects to include the results of operations from the date of acquisition within the Power Delivery segment. The Company is in the process of preparing its initial valuation of the tangible and intangible assets relating to this acquisition and the allocation of the purchase price to the assets acquired and liabilities assumed.</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Acquisitions. </w:t>
      </w:r>
      <w:r>
        <w:rPr>
          <w:rFonts w:ascii="Times New Roman" w:cs="Times New Roman" w:eastAsia="Times New Roman" w:hAnsi="Times New Roman"/>
          <w:sz w:val="16"/>
          <w:szCs w:val="16"/>
          <w:color w:val="auto"/>
        </w:rPr>
        <w:t>During 2023, MasTec completed four acquisitions, including the acquisition of certain assets of a telecommunications company specializing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services, which acquisition was included within the Company’s Communications segment, and was effective in January; and, effective in July, the acquisition of the equity interests of a telecommunications construction company specializing in broadband and fiber-to-the-home initiatives in the New England area, which acquisition was included within the Company’s Communications segment. Determination of the estimated fair values of the net assets acquired and consideration transferred for these acquisitions, which have been accounted for as business combinations under ASC Topic 805, Business Combinations (“ASC 805”), was substantially complete as of June 30, 2024, with exception for certain seller tax reimbursements. Additionally, effective in May 2023, MasTec acquired certain of the equity interests of two equipment companies which were accounted for as asset acquisitions under ASC 805 and were included within the Company’s Oil and Gas segment.</w:t>
      </w:r>
    </w:p>
    <w:p>
      <w:pPr>
        <w:spacing w:after="0" w:line="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aggregate purchase price of the Company’s 2023 acquisitions was composed of approximately $69 million in cash, net of cash acquired, and an earn-out liability valued at approximately $1 million. As of June 30, 2024, the remaining potential undiscounted earn-out liabilities for the 2023 acquisitions was estimated to be up to $2 million; however, there is no maximum payment amount. See Note 4 – Fair Value of Financial Instruments for fair value estimates and other details related to the Company’s earn-out arrangements. Approximately $42 million of the goodwill balance related to the 2023 acquisitions is expected to be tax deductible as of June 30, 2024.</w:t>
      </w:r>
    </w:p>
    <w:p>
      <w:pPr>
        <w:spacing w:after="0" w:line="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 and integration costs. </w:t>
      </w:r>
      <w:r>
        <w:rPr>
          <w:rFonts w:ascii="Times New Roman" w:cs="Times New Roman" w:eastAsia="Times New Roman" w:hAnsi="Times New Roman"/>
          <w:sz w:val="16"/>
          <w:szCs w:val="16"/>
          <w:color w:val="auto"/>
        </w:rPr>
        <w:t>In 2021, the Company initiated a significant transformation of its end-market business operations to focus on the nation’s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 to low-carbon energy sources and position the Company for expected future growth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in prior periods. These acquisition and integration activities were completed in the fourth quarter of 2023. For the three and six month periods ended June 30, 2023,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jc w:val="both"/>
        <w:spacing w:after="0" w:line="272" w:lineRule="auto"/>
        <w:rPr>
          <w:sz w:val="20"/>
          <w:szCs w:val="20"/>
          <w:color w:val="auto"/>
        </w:rPr>
      </w:pPr>
      <w:r>
        <w:rPr>
          <w:rFonts w:ascii="Times New Roman" w:cs="Times New Roman" w:eastAsia="Times New Roman" w:hAnsi="Times New Roman"/>
          <w:sz w:val="16"/>
          <w:szCs w:val="16"/>
          <w:color w:val="auto"/>
        </w:rPr>
        <w:t>such acquisition and integration costs totaled approximately $22.7 million and $39.8 million, respectively, of which $20.4 million and $35.0 million, respectively, was included within general and administrative expenses, and of which $2.3 million and $4.8 million, respectively, was included within costs of revenue, excluding depreciation and amortization.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we refer to as “Earn-outs,” that are contingent upon the acquired businesses achieving certain levels of earnings in the future. As of June 30, 2024 and December 31, 2023, the estimated fair value of the Company’s Earn-out liabilities totaled $71.1 million and $77.4 million, respectively. Earn-out liabilities included within other current liabilities totaled approximately $38.5 million and $29.8 million as of June 30, 2024 and December 31, 2023,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14.0% as of June 30, 2024, and probability-weighted projections of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June 30, 2024, the range of potential undiscounted Earn-out liabilities was estimated to be between $24 million and $82 million; however, there is no maximum payment amount.</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There were no additions from new business combinations or measurement period adjustments in any of the three or six month periods ended June 30, 2024 or 2023. Fair value adjustments totaled an increase, net, of approximately $4.3 million for the three month period ended June 30, 2024 and related primarily to acquisitions within the Company’s Oil and Gas segment, and for the six month period ended June 30, 2024, totaled a decrease, net, of approximately $1.8 million and related primarily to acquisitions within the Company’s Communications and Oil and Gas segments. For the three and six month periods ended June 30, 2023, fair value adjustments totaled a decrease, net, of approximately $1.8 million and $2.1 million, respectively, including decreases related to acquisitions within the Company’s Communications segment, which were largely offset by increases related to acquisitions within the Company’s Clean Energy and Infrastructure and Oil and Gas segments. Earn-out payments totaled approximately $4.6 million for both the three and six month periods ended June 30, 2024, and totaled approximately $24.5 million and $26.1 million for the three and six month periods ended June 30, 2023, respectively.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June 30, 2024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of June 30, 2024 and December 31, 2023, the aggregate carrying value of the Company’s equity investments totaled approximately $328 million and $319 million, respectively. There were no impairments related to these investments in any of the three or six month periods ended June 30, 2024 or 2023.</w:t>
      </w:r>
    </w:p>
    <w:p>
      <w:pPr>
        <w:spacing w:after="0" w:line="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The Waha JVs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Equity in earnings related to the Company’s proportionate share of income from the Waha JVs, which is included within the Company’s Other segment, totaled approximately $6.4 million and $14.1 million for the three and six month periods ended June 30, 2024, respectively, and totaled approximately $7.5 million and $15.4 million for the three and six month periods ended June 30, 2023, respectively. Distributions of earnings from the Waha JVs, which are included within operating cash flows, totaled approximately $5.1 million and $9.3 million for the three and six month periods ended June 30, 2024, respectively, and totaled approximately $1.5 million and $5.8 million for the three and six month periods ended June 30, 2023, respectively. Cumulative undistributed earnings from the Waha JVs, which represents cumulative equity in earnings for the Waha JVs less distributions of earnings, totaled $130.4 million as of June 30, 2024. The Company’s net investment in the Waha JVs, which differs from its proportionate share of the net assets of the Waha JVs due primarily to equity method goodwill associated with capitalized investment costs, totaled approximately $282 million and $274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Investments. </w:t>
      </w:r>
      <w:r>
        <w:rPr>
          <w:rFonts w:ascii="Times New Roman" w:cs="Times New Roman" w:eastAsia="Times New Roman" w:hAnsi="Times New Roman"/>
          <w:sz w:val="16"/>
          <w:szCs w:val="16"/>
          <w:color w:val="auto"/>
        </w:rPr>
        <w:t>The Company has equity interests in certain other entities that are accounted for as equity method investments. For both the six month periods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2024 and 2023, the Company made equity contributions of approximately $0.2 million to these entities. The Company has subcontracting arrangements with certain of these entities for the performance of construction services, and expenses recognized in connection with these arrangements totaled approximately $1.2 million and $2.4 million for the three and six month periods ended June 30, 2024, respectively, and totaled approximately $0.7 million and $1.5 million for the three and six month periods ended June 30, 2023, respectively. As of June 30, 2024 and December 31, 2023, related amounts payable to these entities totaled approximately $0.2 million and $0.1 million, respectively. In addition, the Company has advanced amounts to certain of these entities, which for the six month periods ended June 30, 2024 and 2023, totaled approximately $0.1 million and $0.4 million, respectively. As of June 30, 2024 and December 31, 2023, receivables related to these arrangements totaled approximately $4.2 million and $4.0 million, respectively.</w:t>
      </w:r>
    </w:p>
    <w:p>
      <w:pPr>
        <w:spacing w:after="0" w:line="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variable interest entities (“VIEs”). Management assesses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its VIEs on an ongoing basis to determine if the Company is the primary beneficiary and if consolidation is required. As of June 30, 2024, management determined that the Company is the primary beneficiary of two of its VIEs, and accordingly, has consolidated these entities within the Company’s financial statements, with the other parties’ interests accounted for as a non-controlling interests.</w:t>
      </w:r>
    </w:p>
    <w:p>
      <w:pPr>
        <w:spacing w:after="0" w:line="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Company’s consolidated VIEs include an electric utility contractor in which the Company acquired a 49% interest in the first quarter of 2024. As of June 30, 2024 and December 31, 2023, the carrying values of assets associated with the Company’s consolidated VIEs totaled approximately $15.7 million and $1.7 million, respectively, which amounts consisted primarily of accounts receivable, net of allowance and cash. The carrying values of liabilities associated with the Company’s consolidated VIEs totaled approximately $13.8 million and $1.6 million as of June 30, 2024 and December 31, 2023, respectively, which amounts consisted primarily of accounts payable and accrued salaries and wages. The Company has not provided, nor is it obligated to provide, any financial support to any of its consolidated VIEs.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$24 million and $23 million as of June 30, 2024 and December 31, 2023, respectively, which amounts are recorded within other long-term assets in the consolidated balance sheets. Management believes that the Company’s maximum exposure to loss for its non-consolidated VIEs, inclusive of additional financing commitments, approximated $35 million as of both June 30, 2024 and December 31, 2023.</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As of both June 30, 2024 and December 31, 2023, the gross carrying amount of the Company’s 4.500% senior notes due August 15, 2028 (the “4.500% Senior Notes”) totaled $600.0 million, and their estimated fair value totaled approximately $571.2 million and $565.2 million for the respective periods. As of June 30, 2024, the gross carrying amount of the Company’s 5.900% senior notes due June 15, 2029 (the “5.900% Senior Notes”) totaled $550.0 million, and their estimated fair value totaled approximately $552.2 million. As of June 30, 2024 and December 31, 2023, the gross carrying amount of the Company’s 6.625% senior notes due August 15, 2029 (the “6.625% Senior Notes”) totaled $91.7 million and $284.2 million, respectively, and their estimated fair value totaled approximately $94.6 million and $273.9 million for the respective periods. As of June 30, 2024, the estimated fair values of the Company’s senior notes were determined based on an exit price approach using Level 2 inputs. In the first quarter of 2024, management reevaluated its fair value hierarchy determination for its senior notes to better align with the valuation hierarchy of the fair value guidance, which resulted in an update of the Level determination from Level 1 inputs to Level 2 inputs. The update had no effect on the reported fair values of the related senior notes.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w:t>
            </w:r>
          </w:p>
        </w:tc>
      </w:tr>
      <w:tr>
        <w:trPr>
          <w:trHeight w:val="239"/>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0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r>
    </w:tbl>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For the six month period ended June 30, 2024, provisions for credit losses totaled approximately $3.9 million, including certain project-specific reserves, and for the six month period ended June 30, 2023, provisions for credit losses totaled a recovery of approximately $0.7 million. Impairment losses on contract assets were not material in either period.</w:t>
      </w:r>
    </w:p>
    <w:p>
      <w:pPr>
        <w:spacing w:after="0" w:line="7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6"/>
          <w:szCs w:val="16"/>
          <w:color w:val="auto"/>
        </w:rPr>
        <w:t>in excess of revenue recognized, which is referred to as deferred revenue. Contract liabilities also include the amount of any accrued project losses. Total contract liabilities, including accrued project losses, totaled approximately $620.7 million and $481.0 million as of June 30, 2024 and December 31, 2023, respectively, of which deferred revenue comprised approximately $614.5 million and $475.2 million, respectively. The increase in contract liabilities as of June 30, 2024 was driven primarily by ordinary course project activity, including in connection with new project starts within the Company’s Clean Energy and Infrastructure segment. For the six month periods ended June 30, 2024 and 2023, the Company recognized revenue of approximately $374.1 million and $342.2 million, respectively, related to amounts that were included in deferred revenue as of December 31, 2023 and 2022, respectively, resulting primarily from the advancement of physical progress on the related projects during the respective periods.</w:t>
      </w:r>
    </w:p>
    <w:p>
      <w:pPr>
        <w:spacing w:after="0" w:line="2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The Company is party to certain non-recourse financing arrangements in the ordinary course of business, under which certain receivables are sold to a financial institution in return for a nominal fee. Beginning in the third quarter of 2023, the Company entered into certain additional non-recourse financing arrangements under which it continues to manage collections for the transferred receivables, and for which the corresponding servicing assets or liabilities are not material. For the six month period ended June 30, 2024, the Company sold approximately $228 million of receivables under financing arrangements for which it continues to manage collections for the transferred receivable, and, as of June 30, 2024 and December 31, 2023, outstanding sold receivables related thereto totaled approximately $85 million and $64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 w:cs="Times New Roman" w:eastAsia="Times New Roman" w:hAnsi="Times New Roman"/>
          <w:sz w:val="16"/>
          <w:szCs w:val="16"/>
          <w:i w:val="1"/>
          <w:iCs w:val="1"/>
          <w:color w:val="auto"/>
        </w:rPr>
        <w:t>Transfers and Servicing</w:t>
      </w:r>
      <w:r>
        <w:rPr>
          <w:rFonts w:ascii="Times New Roman" w:cs="Times New Roman" w:eastAsia="Times New Roman" w:hAnsi="Times New Roman"/>
          <w:sz w:val="16"/>
          <w:szCs w:val="16"/>
          <w:color w:val="auto"/>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$5.1 million and $4.2 million for the three month periods ended June 30, 2024 and 2023, respectively, and totaled approximately $10.3 million and $8.0 million for the six month periods ended June 30, 2024 and 2023, respectively.</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Debt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3820" w:type="dxa"/>
            <w:vAlign w:val="bottom"/>
            <w:gridSpan w:val="3"/>
            <w:vMerge w:val="continue"/>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820" w:type="dxa"/>
            <w:vAlign w:val="bottom"/>
            <w:gridSpan w:val="3"/>
          </w:tcPr>
          <w:p>
            <w:pPr>
              <w:ind w:left="35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7, 2027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Three-Year Term Loan Facility</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October 7, 2025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0" w:type="dxa"/>
            <w:vAlign w:val="bottom"/>
          </w:tcPr>
          <w:p>
            <w:pPr>
              <w:spacing w:after="0"/>
              <w:rPr>
                <w:sz w:val="1"/>
                <w:szCs w:val="1"/>
                <w:color w:val="auto"/>
              </w:rPr>
            </w:pPr>
          </w:p>
        </w:tc>
      </w:tr>
      <w:tr>
        <w:trPr>
          <w:trHeight w:val="207"/>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2,888.1</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Second Quarter 2024 Debt Transactions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On June 10, 2024, the Company completed an offering of $550 million aggregate principal amount of 5.900% Senior Notes. Interest on the 5.900% Senior Notes is payable semiannually in arrears on June 15 and December 15 of each year, beginning on December 15, 2024. The 5.900% Senior Notes are general senior unsecured obligations of the Company, and rank equal in right of payment with all of the Company’s existing and future senior unsecured indebtedness and senior in right of payment to all of the Company’s future subordinated indebtedness. The 5.900% Senior Notes are effectively subordinated to all secured indebtedness of the Company, to the extent of the value of the assets securing such indebtedness, and structurally subordinated to all of the obligations of the subsidiaries of the Company, including trade payables. Financing costs incurred in connection with the issuance of the 5.900% Senior Notes totaled approximately $5.9 million, which will be amortized over the term of the 5.900% Senior Notes using the effective interest method.</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5.900% Senior Notes at the redemption prices specified in the indenture that governs the 5.900% Senior Notes (the “5.900% Senior Notes Indenture”), plus accrued and unpaid interest, if any, to, but excluding, the redemption date. If a change of control triggering event, as defined in the 5.900% Senior Notes Indenture, occurs, each holder of the 5.900% Senior Notes will have the right to require the Company to repurchase all or any portion of such holder’s 5.900% Senior Notes then outstanding at a price equal to 101% of the principal amount of the 5.900% Senior Notes, plus accrued and unpaid interest, if any, to, but excluding, the date of repurchase, subject to the right of holders of 5.900% Senior Notes on the relevant record date to receive interest due on the relevant interest payment date.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5.900% Senior Notes Indenture, among other things, generally limits the ability of the Company and certain of its subsidiaries to create liens, enter into sale and leaseback transactions and effect mergers, subject to certain exceptions. The 5.900% Senior Notes Indenture provides for customary events of default, which include, subject, in certain cases, to customary grace and cure periods, among others, nonpayment of principal or interest; breach of other covenants or agreements in the 5.900% Senior Notes Indenture; failure to pay certain other indebtedness; and certain events of bankruptcy or insolvency. Generally, if an event of default occurs and is continuing, the trustee or holders of at least 25% of the 5.900% Senior Notes then outstanding may declare the principal amount, premium, if any, and accrued interest on all of the 5.900% Senior Notes to be immediately due and payable.</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Concurrently with the Company’s offering of the 5.900% Senior Notes, IEA Energy Services LLC (“IEA LLC”), a wholly-owned subsidiary of the Company, launched a tender offer and consent solicitation (the “IEA Tender”) for IEA LLC’s 6.625% senior notes due 2029 (the “6.625% IEA Senior Notes”). The Company used a portion of the proceeds from the 5.900% Senior Notes offering to purchase $203.7 million in aggregate principal amount of 6.625% IEA Senior Notes tendered at a price equal to 100.0% of the principal amount of the 6.625% IEA Senior Notes, plus accrued and unpaid interest to, but excluding, the payment date. In July 2024, subsequent to the IEA Tender, IEA LLC exercised its right under the indenture that governs the 6.625% IEA Senior Notes to redeem the remaining $21.4 million in aggregate principal amount of the 6.625% IEA Senior Notes at a price equal to 95.0% of the principal amount of the 6.625% IEA Senior Notes redeemed, plus accrued and unpaid interest to, but excluding, the redemption date.</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remaining net proceeds from the 5.900% Senior Notes offering were used, along with available cash, for the repayment of the Company’s $400.0 million Three-Year Term Loan Facility. The Company recorded a pre-tax debt extinguishment loss of approximately $11.3 million in the second quarter of 2024 in connection with these transactions, which is separately presented within the Company’s consolidated statements of operations.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maintains a $2.25 billion senior unsecured credit facility (the “Credit Facility”), which is composed of $1.9 billion of revolving commitments and a term loan with an original principal amount of $350.0 million (the “Term Loan”). 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June 30, 2024 and December 31, 2023, the fair values of the Credit Facility and Term Loan, as estimated based on an income approach utilizing significant unobservable Level 3 inputs including discount rate assumptions, approximated their carrying values.</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Revolving loans accrued interest at weighted average rates of approximately 6.81% and 7.71% per annum as of June 30, 2024 and December 31, 2023, respectively. The Term Loan accrued interest at rates of 6.82% and 7.08% as of June 30, 2024 and December 31, 2023, respectively. Letters of credit of approximately $66.1 million and $64.9 million were issued as of June 30, 2024 and December 31, 2023, respectively. As of June 30, 2024 and December 31, 2023, letter of credit fees accrued at 0.5625% and 0.6875% per annum, respectively, for performance standby letters of credit, and for financial standby letters of credit, accrued at 1.375% and 1.625% per annum, respectively. Outstanding letters of credit mature at various dates and most have automatic renewal provisions, subject to prior notice of cancellation. As of June 30, 2024 and December 31, 2023, availability for revolving loans totaled $1,473.9 million and $1,062.1 million, respectively, or up to $583.9 million and $585.1 million, respectively, for new letters of credit. There were no outstanding revolving borrowings denominated in foreign currencies as of either June 30, 2024 or December 31, 2023. Revolving loan borrowing capacity included $300.0 million of availability in either Canadian dollars or Mexican pesos as of both June 30, 2024 and December 31, 2023. The unused facility fee as of June 30, 2024 and December 31, 2023 accrued at rates of 0.200% and 0.225% per annum, respectively.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has other credit facilities that support the working capital requirements of its foreign operations and certain letter of credit issuances. As of June 30, 2024, outstanding borrowings under the Company’s other credit facilities totaled approximately $1.2 million and accrued interest at a rate of 7.70%, and as of December 31, 2023, there were no outstanding borrowings. Additionally, the Company has a separate credit facility, under which it may issue up to $50.0 million of performance standby letters of credit. As of June 30, 2024 and December 31, 2023, letters of credit issued under this facility totaled $17.8 million and $17.2 million, respectively, which accrued fees at 0.75% and 0.90% per annum, respectively.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June 30, 2024, the Company had $292.5 million outstanding under an unsecured five-year term loan (the “Five-Year Term Loan”), for which the original principal amount totaled $300.0 million. The Five-Year Term Loan is subject to amortization in quarterly principal installments of approximately $3.75 million, which installments commenced on March 31, 2024 and will increase to $7.5 million on March 31, 2026 until maturity, subject to the application of certain prepayments. As of June 30, 2024 and December 31, 2023, the Five-Year Term Loan accrued interest at rates of 6.25% and 6.96%, respectively. The fair value of the Five-Year Term Loan as of June 30, 2024 and December 31, 2023, as estimated based on an income approach utilizing significant unobservable Level 3 inputs including discount rate assumptions, approximated its carrying value.</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both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As of June 30, 2024 and December 31, 2023, accrued interest payable, which is recorded within other accrued expenses in the consolidated balance sheets, totaled $22.0 million and $24.1 million, respectively. For additional information pertaining to the Company’s debt instruments, see Note 7 – Debt in the Company’s 2023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 Obligations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certain related party leases. As of June 30, 2024, the Company’s leases have remaining lease terms of up to 15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June 30, 2024 and December 31, 2023 totaled $668.4 million and $679.9 million, respectively. Assets held under finance leases, net of accumulated depreciation, totaled $437.5 million and $473.3 million as of June 30, 2024 and December 31, 2023, respectively. Depreciation expense associated with finance leases totaled $22.7 million and $24.5 million for the three month periods ended June 30, 2024 and 2023, respectively, and totaled $46.9 million and $52.5 million for the six month periods ended June 30, 2024 and 2023,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Operating lease additions for the three month periods ended June 30, 2024 and 2023 totaled $35.6 million and $97.2 million, respectively, and for the six month periods ended June 30, 2024 and 2023, totaled $115.8 million and $123.5 million, respectively. For the three month periods ended June 30, 2024 and 2023, rent expense for leases that have terms in excess of one year totaled approximately $48.9 million and $37.5 million, respectively, of which $4.6 million and $3.6 million, respectively, represented variable lease costs. For the six month periods ended June 30, 2024 and 2023, rent expense for such leases totaled approximately $97.4 million and $72.7 million, respectively, of which $9.3 million and $7.6 million, respectively, represented variable lease costs. The Company also incurred rent expense for leases with terms of one year or less totaling approximately $125.4 million and $130.7 million for the three month periods ended June 30, 2024 and 2023, respectively, and totaling approximately $261.0 million and $241.8 million for the six month periods ended June 30, 2024 and 2023, respectively. Rent expense for operating leases is generally consistent with the amount of the related payments, which payments are included within operating activities in the 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June 30, 2024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 six months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309.5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r>
      <w:tr>
        <w:trPr>
          <w:trHeight w:val="207"/>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291.2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0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2024 and December 31, 2023, finance leases had weighted average remaining lease terms of 2.4 years and 2.6 years, respectively, and a weighted average discount rate of 4.8% and 4.7% for the respective periods. Non-cancelable operating leases had weighted average remaining lease terms of 3.8 years as of both June 30, 2024 and December 31, 2023, and a weighted average discount rate of 5.0% and 4.8% for the respective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Stock-Based Compensation and Other Employee Benefit Plans</w:t>
      </w:r>
    </w:p>
    <w:p>
      <w:pPr>
        <w:spacing w:after="0" w:line="1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In May 2024, MasTec’s shareholders approved the MasTec, Inc. Amended and Restated 2013 Incentive Compensation Plan (the “2013 Incentive Plan”) and the MasTec, Inc. Amended and Restated 2011 Employee Stock Purchase Plan (the “2011 ESPP”), which amendments included the authorization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6"/>
          <w:szCs w:val="16"/>
          <w:color w:val="auto"/>
        </w:rPr>
        <w:t>issue an additional 1,200,000 shares under the 2013 Incentive Plan and 1,000,000 shares under the 2011 ESPP. Under all stock-based compensation plans in effect as of June 30, 2024, there were approximately 4,441,000 shares available for future grants. Non-cash stock-based compensation expense under all plans totaled approximately $7.0 million and $8.6 million for the three month periods ended June 30, 2024 and 2023, respectively, and totaled approximately $16.7 million and $17.1 million for the six month periods ended June 30, 2024 and 2023, respectively. Income tax benefits associated with stock-based compensation arrangements totaled $1.1 million and $1.5 million for the three month periods ended June 30, 2024 and 2023, respectively. For the six month periods ended June 30, 2024 and 2023, income tax benefits totaled $3.0 million and $11.8 million, respectively, including net tax shortfalls related to the vesting of share-based payment awards totaling $0.1 million and net tax benefits totaling $8.9 million, respectively.</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June 30, 2024, total unearned compensation related to restricted shares was approximately $52.7 million, which amount is expected to be recognized over a weighted average period of approximately 2.0 years. The fair value of restricted shares that vested, which is based on the market price on the date of vesting, totaled approximately $1.1 million and $0.7 million for the three month periods ended June 30, 2024 and 2023, respectively, and totaled approximately $14.4 million and $78.0 million for the six month periods ended June 30, 2024 and 2023,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June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stock units as of both June 30, 2024 and December 31, 2023.</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spacing w:after="0" w:line="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For the three month periods ended June 30, 2024 and 2023, participants under the Company’s ESPPs purchased 24,944 shares and 25,353 shares, respectively, for $2.1 million in both periods, and for the six month periods ended June 30, 2024 and 2023, 54,858 shares and 46,651 shares, respectively, were purchased for $4.0 million and $3.8 million, respectively. In each of the three and six month periods ended June 30, 2024 and 2023, shares purchased by participants under the Company’s ESPPs were delivered with shares reacquired by the Company on the open market. Compensation expense associated with the Company’s ESPPs totaled approximately $0.4 million for both the three month periods ended June 30, 2024 and 2023, and totaled approximately $0.8 million and $0.7 million for the six month periods ended June 30, 2024 and 2023,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Equity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The Company’s share repurchase program does not have an expiration date and may be modified or suspended at any time at the Company’s discretion. There were no share repurchases under the Company’s share repurchase program in any of the three or six month periods ended June 30, 2024 or 2023. As of June 30, 2024, $77.3 million was available for future share repurchases under the Company’s March 2020 share repurchase program.</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Unrealized foreign currency translation activity, net, in each of the three and six month periods ended June 30, 2024 and 2023 relates primarily to the Company’s activities in Canada and Mexico. Other unrealized activity within accumulated comprehensive loss in each of the three and six month periods ended June 30, 2024 and 2023 relates to unrealized investment gains or losses associated with interest rate swaps for the Waha JVs.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2024 and 2023, the Company’s consolidated effective tax rates were 30.7% and 14.9%, respectively, and for the six month periods ended June 30, 2024 and 2023 were 47.0% and 39.6%, respectively. The Company’s effective tax rate for the six month period ended June 30, 2024 included the effect of an increase in non-deductible expenses as compared with the same period in 2023. For the six month period ended June 30, 2023, the Company’s effective tax rate included a net tax benefit of approximately $8.9 million related to share-based payment awards and a benefit from certain prior period tax return adjustments.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Segments and Related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Oil and Gas and (5) Other. This structure is generally focused on broad end-user markets for the Company’s labor-based construction services. The Company’s reportable segments derive their revenue primarily from the engineering, installation and maintenance of infrastructure, primarily in North America.</w:t>
      </w:r>
    </w:p>
    <w:p>
      <w:pPr>
        <w:spacing w:after="0" w:line="2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Oil and Gas segment performs engineering, construction, maintenance and other services for pipeline infrastructure, including natural gas, water and carbon capture sequestration pipelines, as well as pipeline integrity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additional financial measures, including EBITDA. The Company believes these additional financial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or underlying, operating results for its reportable segments, as well as items that can vary widely across different industries or among companies within the same industry. Management also uses these additional financial measures, including EBITDA, to allocate resources. Segment EBITDA is calculated in a manner consistent with consolidated EBITDA.</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4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1,794.6</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5,458.8</w:t>
            </w:r>
          </w:p>
        </w:tc>
      </w:tr>
    </w:tbl>
    <w:p>
      <w:pPr>
        <w:spacing w:after="0" w:line="166" w:lineRule="exact"/>
        <w:rPr>
          <w:sz w:val="20"/>
          <w:szCs w:val="20"/>
          <w:color w:val="auto"/>
        </w:rPr>
      </w:pPr>
    </w:p>
    <w:p>
      <w:pPr>
        <w:ind w:left="340" w:hanging="332"/>
        <w:spacing w:after="0" w:line="282" w:lineRule="auto"/>
        <w:tabs>
          <w:tab w:leader="none" w:pos="4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25.0% and 23.6% of Communications segment revenue for the three month periods ended June 30, 2024 and 2023, respectively, and represented 26.3% and 23.6% for the six month periods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4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w:t>
            </w:r>
          </w:p>
        </w:tc>
      </w:tr>
    </w:tbl>
    <w:p>
      <w:pPr>
        <w:spacing w:after="0" w:line="2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For both the three and six month periods ended June 30, 2024, Corporate EBITDA included a loss on debt extinguishment of $11.3 million. For the three month period ended June 30, 2023, Communications, Clean Energy and Infrastructure and Power Delivery EBITDA included $4.6 million, $16.4 million and $0.3 million, respectively, of acquisition and integration costs related to certain acquisitions, and Corporate EBITDA included $1.4 million of such costs, and, for the six month period ended June 30, 2023, $13.5 million, $21.7 million , $1.9 million and $2.7 million, of such costs were included in EBITDA of the segments and Corporate, respectively. Additionally, for the six month period ended June 30, 2023, Corporate EBITDA included fair value losses of $0.2 million related to an investment.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EBITDA</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r>
    </w:tbl>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20" w:type="dxa"/>
            <w:vAlign w:val="bottom"/>
            <w:tcBorders>
              <w:bottom w:val="single" w:sz="8" w:color="auto"/>
            </w:tcBorders>
          </w:tcPr>
          <w:p>
            <w:pPr>
              <w:spacing w:after="0"/>
              <w:rPr>
                <w:sz w:val="18"/>
                <w:szCs w:val="18"/>
                <w:color w:val="auto"/>
              </w:rPr>
            </w:pPr>
          </w:p>
        </w:tc>
      </w:tr>
      <w:tr>
        <w:trPr>
          <w:trHeight w:val="211"/>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0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4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2,332.2</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and Other. </w:t>
      </w:r>
      <w:r>
        <w:rPr>
          <w:rFonts w:ascii="Times New Roman" w:cs="Times New Roman" w:eastAsia="Times New Roman" w:hAnsi="Times New Roman"/>
          <w:sz w:val="16"/>
          <w:szCs w:val="16"/>
          <w:color w:val="auto"/>
        </w:rPr>
        <w:t>MasTec operates primarily within the United States and Canada, and, to a far lesser extent, the Caribbean, India and Mexico.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derived from foreign operations totaled $24.2 million and $22.1 million for the three month periods ended June 30, 2024 and 2023, respectively, and totaled $50.9 million and $49.6 million for the six month periods ended June 30, 2024 and 2023, respectively. Revenue from foreign operations was derived primarily from the Company’s Canadian operations in its Oil and Gas segment. As of June 30, 2024 and December 31, 2023, long-lived assets held by the Company’s businesses in foreign countries included property and equipment, net, of $15.5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0" w:name="page21"/>
    <w:bookmarkEnd w:id="20"/>
    <w:p>
      <w:pPr>
        <w:jc w:val="both"/>
        <w:spacing w:after="0" w:line="263" w:lineRule="auto"/>
        <w:rPr>
          <w:sz w:val="20"/>
          <w:szCs w:val="20"/>
          <w:color w:val="auto"/>
        </w:rPr>
      </w:pPr>
      <w:r>
        <w:rPr>
          <w:rFonts w:ascii="Times New Roman" w:cs="Times New Roman" w:eastAsia="Times New Roman" w:hAnsi="Times New Roman"/>
          <w:sz w:val="16"/>
          <w:szCs w:val="16"/>
          <w:color w:val="auto"/>
        </w:rPr>
        <w:t>and $17.5 million, respectively, and intangible assets and goodwill, net, of $29.9 million and $32.6 million, for the respective periods. Substantially all of the Company’s long-lived and intangible assets and goodwill in foreign countries relate to its Canadian operations. Revenue from governmental entities for the three month periods ended June 30, 2024 and 2023 totaled approximately 14% and 12% of total revenue, respectively, and for the six month periods ended June 30, 2024 and 2023, totaled approximately 13% and 10% of total revenue, respectively, substantially all of which was derived from its U.S. operations.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 customer represented greater than 10% of the Company’s total consolidated revenue in any of the three or six month periods ended June 30, 2024 and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Commitments and Contingencies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Acquired Legacy Solar Matter</w:t>
      </w:r>
    </w:p>
    <w:p>
      <w:pPr>
        <w:spacing w:after="0" w:line="11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See Note 14 – Commitments and Contingencies contained within the Company’s audited consolidated financial statements filed with its 2023 Form 10-K for additional information regarding the acquired legacy solar matter, as to which there have been no material developments since the filing of such Form 10-K.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1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certain related party leases. See Note 7 – Lease Obligations and Note 13 – Related Party Transactions.</w:t>
      </w:r>
    </w:p>
    <w:p>
      <w:pPr>
        <w:spacing w:after="0" w:line="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2024 and December 31, 2023, there were $83.9 million and $82.1 million, respectively, of letters of credit issued under the Company’s credit facilities. Letter of credit claims have historically not been material. The Company is not aware of any material claims relating to its outstanding letters of credit as of June 30, 2024 or December 31, 2023.</w:t>
      </w:r>
    </w:p>
    <w:p>
      <w:pPr>
        <w:spacing w:after="0" w:line="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2024 and December 31, 2023, outstanding performance and payment bonds approximated $6.7 billion and $5.6 billion, respectively, and estimated costs to complete projects secured by these bonds totaled $2.1 billion and $1.6 billion, respectively. Included in these balances as of June 30, 2024 and December 31, 2023 are $825.2 million and $368.3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2024, the Company was not aware of material future claims against it in connection with these arrangements. Included in the Company’s cash balances as of June 30, 2024 and December 31, 2023 are amounts held by entities that are proportionately consolidated totaling $62.8 million and $38.1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13 – Related Party Transactions for additional information pertaining to the Company’s investment and strategic arrangements.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$2.1 million and $1.2 million as of June 30, 2024 and December 31, 2023, respectively, which amounts are generally not available for use in the Company’s other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MasTec’s estimated liability for unpaid claims and associated expenses, including incurred but not reported losses related to these policies, totaled $217.6 million and $209.7 million as of June 30, 2024 and December 31, 2023, respectively, of which $153.7 million and $141.0 million was reflected within other long-term liabilities in the consolidated balance sheets for the respective periods. MasTec also maintains an insurance policy with respect to employee group medical claims, which is subject to annual per employee maximum losses. MasTec’s estimated liability for employee group medical claims totaled $5.5 million and $4.1 million as of June 30, 2024 and December 31, 2023, respectively.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$9.1 million and $9.6 million as of June 30, 2024 and December 31, 2023, respectively. Outstanding surety bonds related to self-insurance programs amounted to $190.0 million and $192.7 million as of June 30, 2024 and December 31, 2023, respectively.</w:t>
      </w:r>
    </w:p>
    <w:p>
      <w:pPr>
        <w:spacing w:after="0" w:line="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June 30, 2024 and December 31, 2023, the Company had accrued project close-out liabilities of approximately $20 million. The Company is not aware of any other material asserted or unasserted claims in connection with its potential indemnity obligations.</w:t>
      </w:r>
    </w:p>
    <w:p>
      <w:pPr>
        <w:spacing w:after="0" w:line="2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The Company had approximately 1,080 customers for the six month period ended June 30, 2024. As of June 30, 2024, no customer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represented greater than 10% of the Company’s consolidated net accounts receivable position, which is calculated as accounts receivable, net, less deferred revenue. As of December 31, 2023, one customer accounted for approximately 10% of the Company’s consolidated net accounts receivable position. The Company derived approximately 36% and 35%, respectively, of its revenue from its top ten customers for the three month periods ended June 30, 2024 and 2023, and derived approximately 39% and 36% of such revenue for the six month periods ended June 30,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Related Party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June 30, 2024 and 2023, such payments to related party entities totaled approximately $8.3 million and $10.7 million, respectively, and for the six month periods ended June 30, 2024 and 2023, such payments totaled approximately $18.6 million and $26.8 million, respectively. Payables associated with such arrangements totaled approximately $0.7 million and $2.7 million as of June 30, 2024 and December 31, 2023, respectively. Revenue from such related party arrangements totaled approximately $4.2 million and $5.2 million for the three month periods ended June 30, 2024 and 2023, respectively, and totaled approximately $8.6 million and $7.4 million for the six month periods ended June 30, 2024 and 2023, respectively. As of June 30, 2024, accounts receivable, net, less deferred revenue related to these arrangements totaled a receivable of approximately $3.0 million, and as of December 31, 2023, totaled a liability of approximately $0.4 million.</w:t>
      </w:r>
    </w:p>
    <w:p>
      <w:pPr>
        <w:spacing w:after="0" w:line="2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month periods ended June 30, 2024 and 2023, MasTec paid CCI approximately $2.8 million and $0.3 million, respectively, and for the six month periods ended June 30, 2024 and 2023, MasTec paid approximately $8.6 million and $1.3 million, respectively, for such equipment, supply and servicing expenses. Amounts payable to CCI totaled approximately $1.0 million and $4.6 million as of June 30, 2024 and December 31, 2023, respectively. The Company also rents equipment to CCI. For both the three and six month periods ended June 30, 2024, revenue from such equipment rentals to CCI totaled approximately $0.2 million, and for both the three and six month periods ended June 30, 2023, there was no revenue from such arrangements. As of June 30, 2024, related amounts receivable totaled $0.2 million, and as of December 31, 2023, there were no amounts outstanding.</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and six month periods ended June 30, 2024, MasTec incurred subcontracting expenses in connection with this arrangement of approximately $1.2 million and $4.9 million, respectively, and for both the three and six month periods ended June 30, 2023, subcontracting expenses totaled approximately $0.4 million. Related amounts payable totaled approximately $0.5 million and $3.1 million as of June 30, 2024 and December 31, 2023, respectively.</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under which a new leasing agreement was entered into in December of 2023. For the three month periods ended June 30, 2024 and 2023, payments related to this leasing arrangement totaled approximately $1.6 million and $0.7 million, respectively, and for the six month periods ended June 30, 2024 and 2023, payments totaled approximately $2.9 million and $1.4 million, respectively. As of June 30, 2024, there were no amounts payable related to this arrangement, and as of December 31, 2023, related amounts payable totaled approximately $0.2 million.</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16"/>
          <w:szCs w:val="16"/>
          <w:color w:val="auto"/>
        </w:rPr>
        <w:t>infrastructure services. In the third quarter of 2023, construction services related to site preparation for a new soccer complex began. For the three month periods ended June 30, 2024 and 2023, revenue under these arrangements totaled approximately $3.6 million and $0.1 million, respectively, and totaled approximately $8.7 million and $0.2 million for the six month periods ended June 30, 2024 and 2023, respectively. As of June 30, 2024 and December 31, 2023, amounts receivable related to these arrangements totaled approximately $5.0 million and $4.1 million, respectively. Payments for other expenses related to the Franchise totaled approximately $0.4 million and $0.2 million for the three month periods ended June 30, 2024 and 2023, respectively, and for both the six month periods ended June 30, 2024 and 2023, totaled approximately $0.6 million. There were no amounts payable as of either June 30, 2024 or December 31, 2023.</w:t>
      </w:r>
    </w:p>
    <w:p>
      <w:pPr>
        <w:spacing w:after="0" w:line="7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José R. Mas previously held a minority interest. On January 1, 2024, MasTec acquired José R. Mas’ interest in this entity for approximately $0.7 million.</w:t>
      </w:r>
    </w:p>
    <w:p>
      <w:pPr>
        <w:spacing w:after="0" w:line="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From time to time, the Company pays amounts on behalf of or to the former owners of acquired businesses, which, under the provisions of the related purchase agreements, the former owners are obligated to repay. The Company made no advances during either of the three month periods ended June 30, 2024 and 2023, and for the six month periods ended June 30, 2024 and 2023, such payments totaled approximately $0.3 million and $0.1 million, respectively. Amounts receivable for such payments, which are expected to be settled under customary terms associated with the related purchase agreements, totaled approximately $2.9 million and $2.6 million as of June 30, 2024 and December 31, 2023, respectively.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June 30, 2024 and 2023, and totaled approximately $0.4 million for both the six month periods ended June 30, 2024 and 2023. As of both June 30, 2024 and December 31, 2023, related amounts receivable totaled approximately $0.4 million.</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including the ownership interests in two entities that the Company acquired in the second quarter of 2023, of which it sold certain minority interests to members of management of a MasTec subsidiary for $7.1 million of notes receivable in the fourth quarter of 2023. These notes, which bear interest at a rate of 5.0% per annum, and of which $4.9 million and $6.9 million was outstanding as of June 30, 2024 and December 31, 2023, respectively, are recorded within other current or long-term assets, as appropriate, in the consolidated balance sheets. For the three and six month periods ended June 30, 2024, the Company recognized interest income related to these notes of approximately $0.1 million and $0.2 million, respectively. Additionally, in the first quarter of 2023, the Company acquired the remaining 15% equity interests in one of its subsidiaries, which interests were previously accounted for as non-controlling interests, from two members of subsidiary management for $10.0 million in cash, plus 120,000 shares of MasTec common stock, valued at approximately $11.6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For both the three and six month periods ended June 30, 2024, the Company paid approximately $0.7 million in connection with these agreements, and paid approximately $1.2 million for both the three and six month periods ended June 30, 2023. As of June 30, 2024 and December 31, 2023, life insurance assets associated with these agreements totaled approximately $27.9 million and $27.2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2023 Annual Report on Form 10-K (“2023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is a discussion and analysis of our business, financial condition and results of operations for the quarterly period ended June 30, 2024 and relevant prior periods.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2023 Form 10-K. In this MD&amp;A, “$” means U.S. dollars unless specified otherwise.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We expect the remainder of 2024 to continue to be a dynamic macroeconomic environment, with elevated market interest rates and continuing levels of cost inflation and potential market volatility, any or all of which could adversely affect our costs and customer demand. The extent to which general economic, market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2023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approximately 95 years. For the twelve month period ended June 30, 2024, we had an average of approximately 34,000 employees and 820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five contractors within Engineering News-Record’s Top 400 Contractors.</w:t>
      </w:r>
    </w:p>
    <w:p>
      <w:pPr>
        <w:spacing w:after="0" w:line="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Oil and Gas; and (5) Other. This structure is generally focused on broad end-user markets for our labor-based construction services. See Note 11 – Segments and Related Information and Note 12 – Commitments and Contingencies in the notes to the consolidated financial statements, which are incorporated by reference, for additional information regarding our segment reporting and significant customer concentrations.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4" w:name="page25"/>
    <w:bookmarkEnd w:id="24"/>
    <w:p>
      <w:pPr>
        <w:jc w:val="both"/>
        <w:spacing w:after="0" w:line="272" w:lineRule="auto"/>
        <w:rPr>
          <w:sz w:val="20"/>
          <w:szCs w:val="20"/>
          <w:color w:val="auto"/>
        </w:rPr>
      </w:pPr>
      <w:r>
        <w:rPr>
          <w:rFonts w:ascii="Times New Roman" w:cs="Times New Roman" w:eastAsia="Times New Roman" w:hAnsi="Times New Roman"/>
          <w:sz w:val="16"/>
          <w:szCs w:val="16"/>
          <w:color w:val="auto"/>
        </w:rPr>
        <w:t>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45% of our estimated June 30, 2024 backlog in 2024. The following table presents 18-month estimated backlog by reportable segment as of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664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13,442</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June 30, 2024, 54%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2024, total 18-month backlog differed from the amount of our remaining performance obligations due primarily to the inclusion of $7.2 billion of estimated future revenue under master service and other service agreements within our backlog estimates, as described above, and the exclusion of approximately $3.2 billion of remaining performance obligations and estimated future revenue under master service and other service agreements in excess of 18 months, which amount is not included in the backlog estimates above. Backlog expected to be realized in 2024 differs from the amount of remaining performance obligations expected to be recognized for the same period due primarily to the inclusion of approximately $1.8 billion of estimated future revenue under master service and other service agreements included within our backlog estimate, which is not included within our remaining performance obligations for the same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2023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2023 Form 10-K.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2023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w:t>
      </w: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In connection with the restructuring in the first quarter of 2024 of the reporting units in the Power Delivery segment, management performed a quantitative assessment of the goodwill associated with each of the five reporting units of the Power Delivery operating segment. For additional details of the restructuring and the related assessment, refer to Note 3 – Acquisitions, Goodwill and Other Intangible Assets, Net, in the notes to the consolidated financial statements, which is incorporated by reference.</w:t>
      </w:r>
    </w:p>
    <w:p>
      <w:pPr>
        <w:spacing w:after="0" w:line="27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There were no material changes in our critical accounting estimates or policies during the three month period ended June 30, 2024, and other than the update to the reporting unit structure of the Power Delivery operating segment as described above, there were no material changes during the six month period ended June 30, 2024.</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640" w:type="dxa"/>
            <w:vAlign w:val="bottom"/>
          </w:tcPr>
          <w:p>
            <w:pPr>
              <w:spacing w:after="0"/>
              <w:rPr>
                <w:sz w:val="16"/>
                <w:szCs w:val="16"/>
                <w:color w:val="auto"/>
              </w:rPr>
            </w:pPr>
          </w:p>
        </w:tc>
      </w:tr>
      <w:tr>
        <w:trPr>
          <w:trHeight w:val="214"/>
        </w:trPr>
        <w:tc>
          <w:tcPr>
            <w:tcW w:w="3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640" w:type="dxa"/>
            <w:vAlign w:val="bottom"/>
            <w:tcBorders>
              <w:bottom w:val="single" w:sz="8" w:color="auto"/>
            </w:tcBorders>
          </w:tcPr>
          <w:p>
            <w:pPr>
              <w:spacing w:after="0"/>
              <w:rPr>
                <w:sz w:val="18"/>
                <w:szCs w:val="18"/>
                <w:color w:val="auto"/>
              </w:rPr>
            </w:pPr>
          </w:p>
        </w:tc>
      </w:tr>
      <w:tr>
        <w:trPr>
          <w:trHeight w:val="210"/>
        </w:trPr>
        <w:tc>
          <w:tcPr>
            <w:tcW w:w="3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6"/>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11 – Segments and Related Information in the notes to the consolidated financial statements, which is incorporated by reference. Our reportable segments are: (1) Communications; (2) Clean Energy and Infrastructure; (3) Power Delivery; (4) Oil and Gas;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The following table presents revenue, EBITDA and EBITDA margin by segment for the periods indicated (dollar amounts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1760" w:type="dxa"/>
            <w:vAlign w:val="bottom"/>
            <w:gridSpan w:val="6"/>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180" w:type="dxa"/>
            <w:vAlign w:val="bottom"/>
          </w:tcPr>
          <w:p>
            <w:pPr>
              <w:spacing w:after="0"/>
              <w:rPr>
                <w:sz w:val="13"/>
                <w:szCs w:val="13"/>
                <w:color w:val="auto"/>
              </w:rPr>
            </w:pPr>
          </w:p>
        </w:tc>
        <w:tc>
          <w:tcPr>
            <w:tcW w:w="1500" w:type="dxa"/>
            <w:vAlign w:val="bottom"/>
            <w:gridSpan w:val="4"/>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For the Six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7"/>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left="339"/>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ind w:left="320"/>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2023 </w:t>
            </w:r>
            <w:r>
              <w:rPr>
                <w:rFonts w:ascii="Times New Roman" w:cs="Times New Roman" w:eastAsia="Times New Roman" w:hAnsi="Times New Roman"/>
                <w:sz w:val="21"/>
                <w:szCs w:val="21"/>
                <w:b w:val="1"/>
                <w:bCs w:val="1"/>
                <w:color w:val="auto"/>
                <w:w w:val="91"/>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ind w:left="320"/>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2023 </w:t>
            </w:r>
            <w:r>
              <w:rPr>
                <w:rFonts w:ascii="Times New Roman" w:cs="Times New Roman" w:eastAsia="Times New Roman" w:hAnsi="Times New Roman"/>
                <w:sz w:val="21"/>
                <w:szCs w:val="21"/>
                <w:b w:val="1"/>
                <w:bCs w:val="1"/>
                <w:color w:val="auto"/>
                <w:w w:val="91"/>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Clean Energy and</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15.3 %</w:t>
            </w: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jc w:val="both"/>
        <w:ind w:left="340" w:hanging="332"/>
        <w:spacing w:after="0" w:line="268" w:lineRule="auto"/>
        <w:tabs>
          <w:tab w:leader="none" w:pos="39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June 30, 2023, Communications, Clean Energy and Infrastructure and Power Delivery EBITDA included $4.6 million, $16.4 million and $0.3 million, respectively, of acquisition and integration costs related to certain acquisitions, and Corporate EBITDA included $1.4 million of such costs, and, for the six month period ended June 30, 2023, $13.5 million, $21.7 million, $1.9 million and $2.7 million, of such costs were included in EBITDA of the segments and Corporate, respectively. These acquisition and integration activities were completed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2024 Compared to Three Months Ended June 30, 2023</w:t>
      </w:r>
    </w:p>
    <w:p>
      <w:pPr>
        <w:spacing w:after="0" w:line="16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June 30, 2024, consolidated revenue totaled $2,961 million as compared with $2,874 million for the same period in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increase of approximately $87 million, or 3%. Revenue in our Oil and Gas segment increased by approximately $231 million, or 67%, whereas revenue decreased in our Power Delivery segment by approximately $66 million, or 9%, in our Communications segment by approximately $44 million, or 5%, and in our Clean Energy and Infrastructure segment by approximately $27 million, or 3%. See below for details of revenue by segment.</w:t>
      </w:r>
    </w:p>
    <w:p>
      <w:pPr>
        <w:spacing w:after="0" w:line="6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$825 million for the three month period ended June 30, 2024 as compared with $869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a decrease of $44 million, or 5%. The decrease in revenue was driven primarily by lower levels of wireline and install-to-the-home project activity due, in part, to customer project timing in our wireline businesses and, for our install-to-the-home activities, changes in consumer behavior resulting in lower demand. These decreases were offset, in part, by an increase in utility project work.</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$942 million for the three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$970 million for the same period in 2023, a decrease of $27 million, or 3%, due primarily to lower levels of renewable and certain industrial and other infrastructure project work, offset, in part, by higher levels of heavy civil project activity, due to various factors affecting timing of project work.</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$637 million for the three month period ended June 30, 2024, as compared with $703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2023, a decrease of $66 million, or 9%. The decrease in revenue was primarily due to lower levels of project activity, including timing-related decreases in transmission and distribution-related project work, primarily due to regulatory effects, offset, in part, by an increase in substation-related project activity.</w:t>
      </w:r>
    </w:p>
    <w:p>
      <w:pPr>
        <w:spacing w:after="0" w:line="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$572 million for the three month period ended June 30, 2024, as compared with $342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2023, an increase of $231 million, or 67%, due primarily to higher levels of project activity, including from increased demand and project timing-related increases in large-diameter and midstream project activity due to improved market and regulatory conditions, partially offset by a reduction in pipeline integrity services.</w:t>
      </w:r>
    </w:p>
    <w:p>
      <w:pPr>
        <w:spacing w:after="0" w:line="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$56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 to $2,540 million for the three month period ended June 30, 2024 from $2,485 million for the same period in 2023. Higher levels of revenue contributed an increase of $75 million in costs of revenue, excluding depreciation and amortization, whereas improved productivity resulted in a decrease of approximately $20 million. Costs of revenue, excluding depreciation and amortization, as a percentage of revenue decreased by approximately 70 basis points to 85.8% of revenue for the three month period ended June 30, 2024 from 86.5% of revenue for the same period in 2023. The basis point decrease was due to a combination of improved project efficiencies and project mix, primarily within our Oil and Gas and Clean Energy and Infrastructure segments, and the positive effects of certain project close-outs, offset, in part, by reduced productivity from the effects of certain overhead costs incurred to maintain operating capacity in support of expected future project work. See “Analysis of EBITDA by Segment” below for discussion of operating capacity effects by segment.</w:t>
      </w:r>
    </w:p>
    <w:p>
      <w:pPr>
        <w:spacing w:after="0" w:line="72" w:lineRule="exact"/>
        <w:rPr>
          <w:sz w:val="20"/>
          <w:szCs w:val="20"/>
          <w:color w:val="auto"/>
        </w:rPr>
      </w:pPr>
    </w:p>
    <w:p>
      <w:pPr>
        <w:jc w:val="both"/>
        <w:ind w:right="2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$102 million, or 3.4% of revenue, for the three month period ended June 30, 2024, as compared with $103 million, or 3.6% of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As a percentage of revenue, depreciation decreased by approximately 10 basis points, due primarily to higher levels of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$34 million, or 1.1% of revenue, for the three month period ended June 30, 2024,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$42 million, or 1.5% of revenue, for the same period in 2023, a decrease of approximately $8 million, or 20%, due to a combination of the effects of timing of amortization for certain assets and the completion of amortization for certain intangible assets associated with prior year acquisitions. As a percentage of revenue, amortization of intangible assets decreased by approximately 30 basis points as compared with the same period in 2023.</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$167 million, or 5.6% of revenue, for the three month period ended June 30,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compared with $176 million, or 6.1% of revenue, for the same period in 2023, a decrease of approximately $9 million, or 5%. The decrease in general and administrative expenses was primarily due to a $20 million reduction in acquisition and integration costs, an increase in gains on sales of assets, net, and a decrease in various administrative costs, including information technology expenses, offset, in part, by increases in compensation and the effects of timing of ordinary course legal matters. Overall, general and administrative expenses decreased by approximately 50 basis points as a percentage of revenue for the three month period ended June 30, 2024 as compared with the same period in 2023.</w:t>
      </w:r>
    </w:p>
    <w:p>
      <w:pPr>
        <w:spacing w:after="0" w:line="8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$51 million, or 1.7% of revenue, for the three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approximately $59 million, or 2.1% of revenue, for the same period in 2023, a decrease of approximately $9 million, or 15%. The decrease in interest expense, net, was primarily due to a reduction in our variable rate debt outstanding under our credit facility and term loans, offset, in part, by an increase in interest expense from our 5.900% Senior Notes and accounts receivable financing arrangements.</w:t>
      </w:r>
    </w:p>
    <w:p>
      <w:pPr>
        <w:spacing w:after="0" w:line="6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Equity in earnings or losses of unconsolidated affiliates includes our share of income or losses from equity method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For the three month periods ended June 30, 2024 and 2023, equity in earnings from unconsolidated affiliates, net, totaled approximately $6 million and $7 million, respectively, and related primarily to our investments in the Waha JVs.</w:t>
      </w:r>
    </w:p>
    <w:p>
      <w:pPr>
        <w:spacing w:after="0" w:line="7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three month period ended June 30, 2024 in connection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the second quarter 2024 repayment of our 6.625% IEA Senior Notes and Three-Year Term Loan Facility.</w:t>
      </w:r>
    </w:p>
    <w:p>
      <w:pPr>
        <w:spacing w:after="0" w:line="4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was $1 million for the three month period ended June 30, 2024, as compared with $4 million for the same period in 2023.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three month period ended June 30, 2024, other income, net, included approximately $4 million of expense, net, from changes to estimated Earn-out accruals, offset by other miscellaneous income, net, including from legal and other settlements. The three month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period ended June 30, 2023 included approximately $2 million of income, net, from changes to estimated Earn-out accruals, as well as other miscellaneous income, net.</w:t>
      </w:r>
    </w:p>
    <w:p>
      <w:pPr>
        <w:spacing w:after="0" w:line="10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$19 million for the three month period ended June 30, 2024, as compared with $3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Pre-tax income totaled $63 million for the three month period ended June 30, 2024, as compared with $20 million for the same period in 2023. For the three month period ended June 30, 2024, our effective tax rate was 30.7% as compared with 14.9% for the same period in 2023. Our effective tax rate in the second quarter of 2024 included the effect of an increase in non-deductible expenses whereas the same period in 2023 included the benefit from certain prior period tax return adjustments.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EBITDA by Segment</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$82 million, or 9.9% of revenue, for the three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$90 million, or 10.3% of revenue, for the same period in 2023, a decrease in EBITDA of approximately $8 million, or 9%. As a percentage of revenue, EBITDA decreased by approximately 40 basis points, or $3 million, due to reduced efficiencies and operating leverage from lower levels of revenue, offset, in part, by a reduction of approximately $5 million in certain acquisition and integration costs and the positive effects of certain project close-outs. Lower levels of revenue resulted in a decrease in EBITDA of approximately $5 million.</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$47 million, or 5.0% of revenue, for the three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June 30, 2024, as compared with $33 million, or 3.4% of revenue for the same period in 2023, an increase in EBITDA of approximately $14 million, or 43%. As a percentage of revenue, EBITDA increased by approximately 160 basis points, or $15 million, due to a combination of improved productivity and a reduction of approximately $16 million in certain acquisition and integration costs, offset, in part, by the effects of certain overhead costs incurred to maintain operating capacity in support of expected future project work. Lower levels of revenue resulted in a decrease in EBITDA of approximately $1 million.</w:t>
      </w:r>
    </w:p>
    <w:p>
      <w:pPr>
        <w:spacing w:after="0" w:line="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$51 million, or 8.1% of revenue, for the three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EBITDA of $57 million, or 8.1% of revenue for the same period in 2023, a decrease in EBITDA of approximately $6 million, or 10%. As a percentage of revenue, EBITDA was flat and lower levels of revenue resulted in a decrease in EBITDA of approximately $5 million.</w:t>
      </w:r>
    </w:p>
    <w:p>
      <w:pPr>
        <w:spacing w:after="0" w:line="5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$135 million, or 23.6% of revenue for the three month period ended June 30, 2024,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$77 million, or 22.5% of revenue for the same period in 2023, an increase in EBITDA of $58 million, or 75%. As a percentage of revenue, EBITDA increased by approximately 110 basis points, or $6 million, due primarily to improved productivity, including as a result of improved operating leverage from higher levels of revenue and project efficiencies, as well as the effects of project mix. Higher levels of revenue contributed an increase in EBITDA of approximately $52 million.</w:t>
      </w:r>
    </w:p>
    <w:p>
      <w:pPr>
        <w:spacing w:after="0" w:line="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$3 million and $7 million for the three month periods ended June 30, 2024 and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EBITDA from Other businesses relates primarily to equity in earnings from our investments in the Waha JVs, offset, in part, by losses from other businesses and investments.</w:t>
      </w:r>
    </w:p>
    <w:p>
      <w:pPr>
        <w:spacing w:after="0" w:line="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$69 million for the three month period ended June 30, 2024, as compared with EBITDA of negative $39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2023, for a decrease in EBITDA of approximately $30 million. For the three month period ended June 30, 2024, Corporate EBITDA included approximately $11 million of a loss on debt extinguishment and $4 million of expense, net, from changes to estimated Earn-out accruals. For the three month period ended June 30, 2023, Corporate EBITDA included approximately $2 million of income, net from changes to estimated Earn-out accruals. Corporate expenses for the three month period ended June 30, 2024 not related to the above-described items increased by approximately $13 million as compared with the same period in 2023, due primarily to increases in information technology and other administrative expenses as well as the effects of timing of ordinary course legal and other settlement matters.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 Compared to Six Months Ended June 30, 2023</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 period ended June 30, 2024, consolidated revenue totaled $5,648 million as compared with $5,459 million for the same period in 2023,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approximately $189 million, or 3%. Revenue in our Oil and Gas segment increased by approximately $608 million, or 102%, whereas revenue decreased in our Power Delivery segment by approximately $205 million, or 14%, in our Communications segment by approximately $118 million, or 7%, and in our Clean Energy and Infrastructure segment by approximately $99 million, or 6%. See below for details of revenue by segment.</w:t>
      </w:r>
    </w:p>
    <w:p>
      <w:pPr>
        <w:spacing w:after="0" w:line="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$1,558 million for the six month period ended June 30, 2024, as compared with $1,675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a decrease of $118 million, or 7%. The decrease in revenue was driven primarily by lower levels of wireless, wireline and install-to-the-home project activity due, in part, to customer project timing in our wireless and wireline businesses and, for our install-to-the-home activities, changes in consumer behavior resulting in lower demand. These decreases were offset, in part, by an increase in utility project work.</w:t>
      </w:r>
    </w:p>
    <w:p>
      <w:pPr>
        <w:spacing w:after="0" w:line="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$1,696 million for the six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$1,795 million for the same period in 2023, a decrease of $99 million, or 6%, due primarily to lower levels of renewable and certain industrial and other infrastructure project work, offset, in part, by higher levels of heavy civil project activity, due to various factors affecting timing of project work.</w:t>
      </w:r>
    </w:p>
    <w:p>
      <w:pPr>
        <w:spacing w:after="0" w:line="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$1,208 million for the six month period ended June 30, 2024, as compared with $1,412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a decrease of $205 million, or 14%. The decrease in revenue was primarily due to lower levels of project activity, including timing-related decreases in transmission and distribution-related project work, primarily due to regulatory effects, offset, in part, by an increase in substation-related project activity.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$1,206 million for the six month period ended June 30, 2024, as compared with $598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2023, an increase of $608 million, or 102%, due primarily to higher levels of project activity, including from increased demand and project timing-related increases in large-diameter and midstream project activity due to improved market and regulatory conditions, offset, in part, by a reduction in pipeline integrity services.</w:t>
      </w:r>
    </w:p>
    <w:p>
      <w:pPr>
        <w:spacing w:after="0" w:line="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$76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 to $4,920 million for the six month period ended June 30, 2024 from $4,844 million for the same period in 2023. Higher levels of revenue contributed an increase of $168 million in costs of revenue, excluding depreciation and amortization, whereas improved productivity resulted in a decrease of approximately $92 million. Costs of revenue, excluding depreciation and amortization, as a percentage of revenue decreased by approximately 160 basis points to 87.1% of revenue for the six month period ended June 30, 2024 from 88.7% of revenue for the same period in 2023. The basis point decrease was due to a combination of improved project efficiencies and project mix, primarily within our Oil and Gas and Clean Energy and Infrastructure segments, and the positive effects of certain project close-outs, offset, in part, by reduced productivity from the effects of certain overhead costs incurred to maintain operating capacity in support of expected future project work. See “Analysis of EBITDA by Segment” below for discussion of operating capacity effects by segment.</w:t>
      </w:r>
    </w:p>
    <w:p>
      <w:pPr>
        <w:spacing w:after="0" w:line="72" w:lineRule="exact"/>
        <w:rPr>
          <w:sz w:val="20"/>
          <w:szCs w:val="20"/>
          <w:color w:val="auto"/>
        </w:rPr>
      </w:pPr>
    </w:p>
    <w:p>
      <w:pPr>
        <w:jc w:val="both"/>
        <w:ind w:right="2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$210 million, or 3.7% of revenue, for the six month period ended June 30, 2024, as compared with $210 million, or 3.9% of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As a percentage of revenue, depreciation decreased by approximately 10 basis points, due primarily to higher levels of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$67 million, or 1.2% of revenue, for the six month period ended June 30, 2024,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$84 million, or 1.5% of revenue, for the same period in 2023, a decrease of approximately $17 million, or 20%, due to a combination of the effects of timing of amortization for certain assets and the completion of amortization for certain intangible assets associated with prior year acquisitions. As a percentage of revenue, amortization of intangible assets decreased by approximately 30 basis points as compared with the same period in 2023.</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$333 million, or 5.9% of revenue, for the six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$340 million, or 6.2% of revenue, for the same period in 2023, a decrease of approximately $7 million, or 2%. The decrease in general and administrative expenses was primarily due to a $35 million reduction in acquisition and integration costs, an increase in gains on sales of assets, net, and a decrease in various administrative costs, including information technology expenses, offset, in part, by an increase in the provision for credit losses, increases in compensation and the effects of timing of ordinary course legal and other settlement matters. Overall, general and administrative expenses decreased by approximately 30 basis points as a percentage of revenue for the six month period ended June 30, 2024 as compared with the same period in 2023.</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$103 million, or 1.8% of revenue, for the six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approximately $112 million, or 2.1% of revenue, for the same period in 2023, a decrease of approximately $9 million, or 8%. The decrease in interest expense, net, was primarily due to a reduction in our variable rate debt outstanding under our credit facility and term loans, offset, in part, by an increase in interest expense from our 5.900% Senior Notes and accounts receivable financing arrangements.</w:t>
      </w:r>
    </w:p>
    <w:p>
      <w:pPr>
        <w:spacing w:after="0" w:line="7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six month periods ended June 30, 2024 and 2023, equity in earnings from unconsolidated affiliates,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$15 million and $17 million, respectively, and related primarily to our investments in the Waha JVs.</w:t>
      </w:r>
    </w:p>
    <w:p>
      <w:pPr>
        <w:spacing w:after="0" w:line="48" w:lineRule="exact"/>
        <w:rPr>
          <w:sz w:val="20"/>
          <w:szCs w:val="20"/>
          <w:color w:val="auto"/>
        </w:rPr>
      </w:pPr>
    </w:p>
    <w:p>
      <w:pPr>
        <w:jc w:val="both"/>
        <w:ind w:right="2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six month period ended June 30, 2024 in connection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the second quarter 2024 repayment of our 6.625% IEA Senior Notes and Three-Year Term Loan Facility.</w:t>
      </w:r>
    </w:p>
    <w:p>
      <w:pPr>
        <w:spacing w:after="0" w:line="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(income), net. </w:t>
      </w:r>
      <w:r>
        <w:rPr>
          <w:rFonts w:ascii="Times New Roman" w:cs="Times New Roman" w:eastAsia="Times New Roman" w:hAnsi="Times New Roman"/>
          <w:sz w:val="16"/>
          <w:szCs w:val="16"/>
          <w:color w:val="auto"/>
        </w:rPr>
        <w:t>Other expense, net, was $2 million for the six month period ended June 30, 2024, as compared with $10 million of other income, net,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2023. For the six month period ended June 30, 2024, other expense, net, included approximately $2 million of income, net, from changes to estimated Earn-out accruals, approximately $10 million of asset impairment and other valuation adjustments related to certain fixed assets and approximately $6 million of other miscellaneous income, net, including from legal and other settlements. For the six month period ended June 30, 2023, other income, net, included approximately $2 million of income, net, from changes to estimated Earn-out accruals, approximately $3 million of income from the final settlement and expiration of certain warrants related to the acquisition of IEA and approximately $5 million of other miscellaneous income, including from legal and other settlements.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benefit from income taxes. </w:t>
      </w:r>
      <w:r>
        <w:rPr>
          <w:rFonts w:ascii="Times New Roman" w:cs="Times New Roman" w:eastAsia="Times New Roman" w:hAnsi="Times New Roman"/>
          <w:sz w:val="16"/>
          <w:szCs w:val="16"/>
          <w:color w:val="auto"/>
        </w:rPr>
        <w:t>Income tax expense was $8 million for the six month period ended June 30, 2024, as compared with $42 million of income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tax benefit for the same period in 2023. Pre-tax income totaled $18 million for the six month period ended June 30, 2024, as compared with $106 million of pre-tax losses for the same period in 2023. For the six month period ended June 30, 2024, our effective tax rate was 47.0% as compared with 39.6% for the same period in 2023. Our effective tax rate for the six month periods ended June 30, 2024 and 2023 included the effect of an increase in non-deductible expenses and for the six month period ended June 30, 2023, our effective tax rate also included a net tax benefit of approximately $9 million from share-based payment awards and a benefit from certain prior period tax return adjustments.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EBITDA by Segment</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$131 million, or 8.4% of revenue, for the six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$142 million, or 8.5% of revenue, for the same period in 2023, a decrease in EBITDA of approximately $12 million, or 8%. As a percentage of revenue, EBITDA decreased by approximately 10 basis points, or $2 million, due to reduced efficiencies and operating leverage from lower levels of revenue, offset, in part, by a reduction of approximately $13 million in certain acquisition and integration costs and the positive effects of certain project close-outs. Lower levels of revenue resulted in a decrease in EBITDA of approximately $10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$68 million, or 4.0% of revenue, for the six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June 30, 2024, as compared with $39 million, or 2.1% of revenue, for the same period in 2023, an increase in EBITDA of approximately $29 million, or 76%. As a percentage of revenue, EBITDA increased by approximately 190 basis points, or $31 million, due to a combination of improved productivity and a reduction of approximately $22 million in certain acquisition and integration costs, offset, in part, by the effects of certain overhead costs incurred to maintain operating capacity in support of expected future project work. Lower levels of revenue resulted in a decrease in EBITDA of approximately $2 million.</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$79 million, or 6.5% of revenue, for the six month period ended June 30,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EBITDA of $105 million, or 7.4% of revenue, for the same period in 2023, a decrease in EBITDA of approximately $26 million, or 25%. As a percentage of revenue, EBITDA decreased by approximately 90 basis points, or $11 million, due to a combination of reduced project efficiencies, including from the effects of certain overhead costs incurred to maintain operating capacity in support of expected future project work, project mix and a reduction in emergency restoration services, offset, in part, by a reduction of approximately $2 million in certain acquisition and integration costs. Lower levels of revenue resulted in a decrease in EBITDA of approximately $15 million.</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$228 million or 18.9% of revenue, for the six month period ended June 30, 2024,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$92 million, or 15.3% of revenue for the same period in 2023, an increase in EBITDA of $136 million, or 149%. As a percentage of revenue, EBITDA increased by approximately 360 basis points, or $43 million, due primarily to improved productivity, including as a result of improved operating leverage from higher levels of revenue and project efficiencies, as well as the effects of project mix. Higher levels of revenue contributed an increase in EBITDA of approximately $93 million.</w:t>
      </w:r>
    </w:p>
    <w:p>
      <w:pPr>
        <w:spacing w:after="0" w:line="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$10 million for the six month period ended June 30, 2024, as compared with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$14 million for the same period in 2023. EBITDA from Other businesses relates primarily to equity in earnings from our investments in the Waha JVs, offset, in part, by losses from other businesses and investments.</w:t>
      </w:r>
    </w:p>
    <w:p>
      <w:pPr>
        <w:spacing w:after="0" w:line="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$118 million for the six month period ended June 30, 2024, as compared with EBITDA of negative $90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2023, for a decrease in EBITDA of approximately $28 million. For the six month period ended June 30, 2024, Corporate EBITDA included approximately $11 million of a loss on debt extinguishment and $2 million of income, net, from changes to estimated Earn-out accruals. For the six month period ended June 30, 2023, Corporate EBITDA included approximately $2 million of income, net, from changes to estimated Earn-out accruals and $3 million of income from the final settlement and expiration of certain warrants related to the acquisition of IEA. Corporate expenses for the six month period ended June 30, 2024 not related to the above-described items increased by approximately $14 million as compared with the same period in 2023, due primarily to increases in information technology and other administrative expenses as well as the effects of timing of ordinary course legal and other settlement matters.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respective periods, non-cash stock-based compensation expense; the loss on debt extinguishment; acquisition and integration costs related to certain acquisition activity; and fair value gains or losses, net, on an investment; and, for Adjusted Net Income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Adjusted EBITDA, Adjusted Net Income and Adjusted Diluted Earnings Per Share. These acquisition and integration activities were completed in the fourth quarter of 2023.</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adjusted results also exclude fair value gains or losses, net, for our investment in American Virtual Cloud Technologies, Inc.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spacing w:after="0" w:line="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exclude intangible asset amortization from our non-U.S. GAAP financial measures due to its non-operational nature and inherent volatility, as acquisition activity varies from period to period. We believe that this presentation is common practice within our industry and improves comparability of our results with those of our peers. Note that while intangible asset amortization related to the assets of acquired entities is excluded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spacing w:after="0" w:line="280" w:lineRule="auto"/>
        <w:rPr>
          <w:sz w:val="20"/>
          <w:szCs w:val="20"/>
          <w:color w:val="auto"/>
        </w:rPr>
      </w:pPr>
      <w:r>
        <w:rPr>
          <w:rFonts w:ascii="Times New Roman" w:cs="Times New Roman" w:eastAsia="Times New Roman" w:hAnsi="Times New Roman"/>
          <w:sz w:val="16"/>
          <w:szCs w:val="16"/>
          <w:color w:val="auto"/>
        </w:rPr>
        <w:t>from our non-U.S. GAAP financial measures, the revenue and all other expenses of the acquired entities are included within our non-U.S. GAAP financial measures, unless otherwise stated.</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(dollar amounts in millions) may contain slight summation differences due to rounding.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500" w:type="dxa"/>
            <w:vAlign w:val="bottom"/>
            <w:tcBorders>
              <w:bottom w:val="single" w:sz="8" w:color="auto"/>
            </w:tcBorders>
          </w:tcPr>
          <w:p>
            <w:pPr>
              <w:spacing w:after="0"/>
              <w:rPr>
                <w:sz w:val="18"/>
                <w:szCs w:val="18"/>
                <w:color w:val="auto"/>
              </w:rPr>
            </w:pPr>
          </w:p>
        </w:tc>
      </w:tr>
      <w:tr>
        <w:trPr>
          <w:trHeight w:val="211"/>
        </w:trPr>
        <w:tc>
          <w:tcPr>
            <w:tcW w:w="4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2"/>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20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0" w:type="dxa"/>
            <w:vAlign w:val="bottom"/>
          </w:tcPr>
          <w:p>
            <w:pPr>
              <w:spacing w:after="0"/>
              <w:rPr>
                <w:sz w:val="18"/>
                <w:szCs w:val="18"/>
                <w:color w:val="auto"/>
              </w:rPr>
            </w:pPr>
          </w:p>
        </w:tc>
        <w:tc>
          <w:tcPr>
            <w:tcW w:w="2780" w:type="dxa"/>
            <w:vAlign w:val="bottom"/>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500" w:type="dxa"/>
            <w:vAlign w:val="bottom"/>
          </w:tcPr>
          <w:p>
            <w:pPr>
              <w:spacing w:after="0"/>
              <w:rPr>
                <w:sz w:val="18"/>
                <w:szCs w:val="18"/>
                <w:color w:val="auto"/>
              </w:rPr>
            </w:pPr>
          </w:p>
        </w:tc>
      </w:tr>
      <w:tr>
        <w:trPr>
          <w:trHeight w:val="211"/>
        </w:trPr>
        <w:tc>
          <w:tcPr>
            <w:tcW w:w="4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Losses on fair value of investment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0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Oil and Gas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 on extinguishment of debt and losses on the fair value of an investment are included within Corporate EBITDA.</w:t>
      </w:r>
    </w:p>
    <w:p>
      <w:pPr>
        <w:spacing w:after="0" w:line="27"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6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June 30, 2023, Communications, Clean Energy and Infrastructure and Power Delivery EBITDA included $4.6 million, $16.4 million and $0.3 million, respectively, of acquisition and integration costs related to certain acquisitions, as described above, and Corporate EBITDA included $1.4 million of such costs, and for the six month period ended June 30, 2023, $13.5 million, $21.7 million, $1.9 million and $2.7 million of such costs were included in EBITDA of the segments and Corporate,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most directly comparable U.S. GAAP financial measures, to Adjusted Net Income and Adjusted Diluted Earnings Per Share.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5"/>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37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on fair value of investment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r>
    </w:tbl>
    <w:p>
      <w:pPr>
        <w:spacing w:after="0" w:line="126" w:lineRule="exact"/>
        <w:rPr>
          <w:sz w:val="20"/>
          <w:szCs w:val="20"/>
          <w:color w:val="auto"/>
        </w:rPr>
      </w:pPr>
    </w:p>
    <w:p>
      <w:pPr>
        <w:jc w:val="both"/>
        <w:ind w:left="340" w:hanging="332"/>
        <w:spacing w:after="0" w:line="266" w:lineRule="auto"/>
        <w:tabs>
          <w:tab w:leader="none" w:pos="33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and six month periods ended June 30, 2024, our consolidated tax amounts were expenses, with effective tax rates, as reported, of 30.7% and 47.0%, respectively, and as adjusted, were expenses with effective tax rates of 25.6% and 27.1%. respectively. For the three and six month periods ended June 30, 2023, our consolidated effective tax amounts were an expense and a benefit, with effective tax rates, as reported, of 14.9% and 39.6%, respectively, and as adjusted, were expenses with effective tax rates of 23.9% and 18.9%.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 See Note 6 – Debt in the notes to the consolidated financial statements in this Form 10-Q, which is incorporated by reference, for details of our $550 million offering of 5.900% Senior Notes and the repayments of our 6.625% Senior Notes and Three-Year Term Loan during the second quarter of 2024.</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 period ended June 30, 2024, we spent approximately $57 million on capital expenditures, or $26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$53 million of equipment purchases under finance leases and other financing arrangements. We estimate that we will spend approximately $175 million on capital expenditures, or approximately $125 million, net of asset disposals, in 2024, and we expect to incur approximately $150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In addition, in most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acquisitions, we have agreed to make future payments to the sellers that are contingent upon the future earnings performance of the acquired businesses, which we also refer to as “Earn-out” payments. Additionally, from time to time, our acquisitions may contain certain additional payments based upon specified conditions. Earn-out payments may be paid in cash or, under specific circumstances, MasTec common stock, or a combination thereof, generally at our option. The estimated total value of future Earn-out liabilities as of June 30, 2024 was approximately $71 million. Of this amount, approximately $24 million represents the liability for earned amounts. The remainder is management’s estimate of Earn-out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2" w:name="page33"/>
    <w:bookmarkEnd w:id="32"/>
    <w:p>
      <w:pPr>
        <w:jc w:val="both"/>
        <w:spacing w:after="0" w:line="280" w:lineRule="auto"/>
        <w:rPr>
          <w:sz w:val="20"/>
          <w:szCs w:val="20"/>
          <w:color w:val="auto"/>
        </w:rPr>
      </w:pPr>
      <w:r>
        <w:rPr>
          <w:rFonts w:ascii="Times New Roman" w:cs="Times New Roman" w:eastAsia="Times New Roman" w:hAnsi="Times New Roman"/>
          <w:sz w:val="16"/>
          <w:szCs w:val="16"/>
          <w:color w:val="auto"/>
        </w:rPr>
        <w:t>liabilities that are contingent upon future performance. For the six month periods ended June 30, 2024 and 2023, we made $5 million and $26 million, respectively, of payments related to our Earn-out liabilities.</w:t>
      </w:r>
    </w:p>
    <w:p>
      <w:pPr>
        <w:spacing w:after="0" w:line="6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six month periods ended June 30, 2024 and 2023, tax payments, net of tax refunds totaled approximately $45 million and $14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Our tax payments vary with changes in taxable income and earnings based on estimates of full year taxable income activity and estimated tax rates.</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June 30, 2024,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$2.9 billion as of June 30, 2024 as compared with $3.1 billion as of December 31, 2023, due primarily to a decrease in quarterly revenue.</w:t>
      </w:r>
    </w:p>
    <w:p>
      <w:pPr>
        <w:spacing w:after="0" w:line="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are contractually due to subcontractors only after we are paid by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2024, we had approximately $729 million in working capital, defined as current assets less current liabilities, as compared with $1,137 million as of December 31, 2023, a decrease of approximately $408 million. Cash and cash equivalents totaled approximately $298 million and $530 million as of June 30, 2024 and December 31, 2023, respectively, for a decrease of approximately $232 million. See discussion below for further detail regarding our cash flows and related activity.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8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2024 was $372 million, as compared with $98 million of net cash used in operating activities for the same period in 2023, for an increase in net cash provided by operating activities of approximately $470 million, due primarily to (i) changes in working capital compared with the prior period, including from the positive effect of timing-related changes in accounts receivable, offset, in part, by the negative effect of timing-related changes in accounts payable and accrued expenses; and (ii) an increase in net income as compared with the prior period.</w:t>
      </w:r>
    </w:p>
    <w:p>
      <w:pPr>
        <w:spacing w:after="0" w:line="2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Days sales outstanding, net of contract liabilities, which we refer to as “DSO,” is calculated as total accounts receivable, net of allowance, less contract liabilities, divided by average daily revenue for the most recently completed quarter as of the balance sheet date. Our DSO was 69 as of June 30, 2024 as compared with DSO of 74 as of December 31, 2023. Our DSOs can fluctuate from period to period due to timing of billings, billing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spacing w:after="0" w:line="260" w:lineRule="auto"/>
        <w:rPr>
          <w:sz w:val="20"/>
          <w:szCs w:val="20"/>
          <w:color w:val="auto"/>
        </w:rPr>
      </w:pPr>
      <w:r>
        <w:rPr>
          <w:rFonts w:ascii="Times New Roman" w:cs="Times New Roman" w:eastAsia="Times New Roman" w:hAnsi="Times New Roman"/>
          <w:sz w:val="16"/>
          <w:szCs w:val="16"/>
          <w:color w:val="auto"/>
        </w:rPr>
        <w:t>terms, collections and settlements, timing of project close-outs and retainage collections, changes in project and customer mix and the effect of working capital initiatives, including certain accounts receivable financing arrangements. The decrease in DSO as of June 30, 2024 as compared with December 31, 2023 was due to timing of ordinary course billing and collection activities, as well as the effects of certain accounts receivable financing arrangements.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approximately $117 million to $24 million for the six month period ended June 30,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$141 million for the same period in 2023. Capital expenditures totaled $57 million, or $26 million, net of asset disposals, for the six month period ended June 30, 2024, as compared with $119 million, or $76 million, net of asset disposals, for the same period in 2023, for a decrease in cash used in investing activities of approximately $51 million, due primarily to timing of equipment purchases. Cash used in investing activities from acquisition activity decreased by $64 million for the six month period ended June 30, 2024 as compared with the same period in 2023.</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six month period ended June 30, 2024 was $579 million, as compared with $12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2023, for an increase in cash used in financing activities of approximately $567 million. The increase was primarily due to repayments, net of borrowings, of our credit facility and term loans, which increased by $932 million for the six month period ended June 30, 2024 as compared with the same period in 2023, and the repayment of $204 million of our 6.625% Senior Notes in the second quarter of 2024. These repayments were partially offset by $550 million of net proceeds received in the second quarter of 2024 from the issuance of our 5.900% Senior Notes.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a $2.25 billion senior unsecured credit facility (as amended from time to time, the “Credit Facility”), which is composed of $1.9 billion of revolving commitments and a Term Loan with an original principal amount of $350 million, and matures on November 1, 2026. As of June 30, 2024, aggregate outstanding revolving borrowings totaled approximately $0.4 billion and availability for revolving loans totaled $1.5 billion.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2023 Form 10-K.</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4.500% 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$600 million aggregate principal amount of 4.500% senior unsecured notes due August 15, 2028 (the “4.500% Senior Notes”). The 4.500% Senior Notes are subject to certain provisions and covenants, as more fully described in Note 7 – Debt in the notes to the audited consolidated financial statements included in our 2023 Form 10-K.</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5.900% 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June 10, 2024, we completed an offering of $550 million aggregate principal amount of 5.900% senior unsecured notes due June 15, 2029 (the “5.900% Senior Notes”). We used a portion of the proceeds from the 5.900% Senior Notes offering to purchase $204 million in aggregate principal amount of 6.625% IEA Senior Notes tendered at a price equal to 100.0% of the principal amount of the 6.625% IEA Senior Notes. The remaining net proceeds from the 5.900% Senior Notes offering were used, along with available cash, for the repayment of the Company’s $400.0 million Three-Year Term Loan Facility. See Note 6 – Debt in the notes to the consolidated financial statements, which is incorporated by reference.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have $96 million aggregate principal amount of 6.625% senior unsecured notes due August 15, 2029 (the “6.625% Senior Notes”), which are composed of $21 million aggregate principal amount of 6.625% IEA senior notes (the “6.625% IEA Senior Notes”) and $75 million aggregate principal amount of 6.625% MasTec senior notes (the “6.625% MasTec Senior Notes”). In July 2024, IEA LLC exercised its right under the indenture that governs the 6.625% IEA Senior Notes to redeem the remaining $21 million in aggregate principal amount of the 6.625% IEA Senior Notes at a price equal to 95.0% of the principal amount. The remaining 6.625% MasTec Senior Notes are subject to certain provisions and covenants, as more fully described in Note 7 – Debt in the notes to the audited consolidated financial statements included in our 2023 Form 10-K.</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2024, we had $292.5 million outstanding of an unsecured five-year term loan (the “Five-Year Term Loan”) that is due October 7, 2027. The Five-Year Term Loan is subject to certain provisions and covenants, as more fully described in Note 7 – Debt in the notes to the audited consolidated financial statements included in our 2023 Form 10-K.</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3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June 30, 2024, and we expect to be in compliance with these provisions and covenants for the next twelve months.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4" w:name="page35"/>
    <w:bookmarkEnd w:id="34"/>
    <w:p>
      <w:pPr>
        <w:jc w:val="both"/>
        <w:spacing w:after="0" w:line="280" w:lineRule="auto"/>
        <w:rPr>
          <w:sz w:val="20"/>
          <w:szCs w:val="20"/>
          <w:color w:val="auto"/>
        </w:rPr>
      </w:pPr>
      <w:r>
        <w:rPr>
          <w:rFonts w:ascii="Times New Roman" w:cs="Times New Roman" w:eastAsia="Times New Roman" w:hAnsi="Times New Roman"/>
          <w:sz w:val="16"/>
          <w:szCs w:val="16"/>
          <w:color w:val="auto"/>
        </w:rPr>
        <w:t>consolidated financial statements included in our 2023 Form 10-K. Also, see Note 6 – Debt in the notes to the consolidated financial statements in this Form 10-Q, which is incorporated by reference, for current period balances, rates of interest and related discussion.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12 – Commitments and Contingencies, Note 4 – Fair Value of Financial Instruments and Note 13 – Related Party Transactions in the notes to the consolidated financial statements in this Form 10-Q, which are incorporated by reference, and see Management’s Discussion and Analysis of Financial Condition and Results of Operations contained in our 2023 Form 10-K for additional information related to our off-balance sheet arrangements.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Over the past years, inflation, supply chain and labor constraints have had a significant impact on the global economy, including on the construction industry in the United States. We expect elevated market interest rates and continuing levels of cost inflation for the foreseeable future. Elevated levels of labor, material and fuel costs have negatively affected our project margins to the extent that we have been unable to pass such cost increases along to our customers. If current inflationary conditions persist, our profitability could continue to be affected in the future. Market and economic volatility and/or uncertainty can also affect our customers’ investment decisions and subject us to project cancellations, deferrals or unexpected changes in the timing of project work. Additionally, as discussed within “Interest Rate Risk” below, the current inflationary environment has resulted in an increase in market interest rates, which has increased the rates of interest on our variable rate debt and, correspondingly, our interest expense. Increased market interest rates could also have an adverse effect on the capital expenditure budgets of our customers, which could result in reduced or deferred demand for our services.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 For additional information regarding the effects of inflation on our business, see Management’s Discussion and Analysis of Financial Condition and Results of Operations contained in our 2023 Form 10-K.</w:t>
      </w:r>
    </w:p>
    <w:p>
      <w:pPr>
        <w:spacing w:after="0" w:line="191" w:lineRule="exact"/>
        <w:rPr>
          <w:sz w:val="20"/>
          <w:szCs w:val="20"/>
          <w:color w:val="auto"/>
        </w:rPr>
      </w:pPr>
    </w:p>
    <w:p>
      <w:pPr>
        <w:ind w:right="4660"/>
        <w:spacing w:after="0" w:line="388"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interest expense is affected by the overall interest rate environment. We manage interest rate risk by maintaining a mix of fixed and variable rate debt obligations. Our variable rate debt subjects us to risk from increases in prevailing interest rates. As of June 30, 2024, our variable rate debt consisted primarily of approximately $360 million of revolving loans outstanding under our Credit Facility with a weighted average interest rate of 6.81%, a $337 million Term Loan under our Credit Facility with a weighted average interest rate of 6.82%, and a $293 million Five-Year Term Loan with a weighted average interest rate of 6.25%. An additional 100 basis point increase in the applicable interest rates under our Credit Facility and Five-Year Term Loan would have increased our interest expense by approximately $6 million for the six month period ended June 30, 2024.</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2024, our fixed rate debt primarily included $600 million aggregate principal amount of 4.500% Senior Notes, $550 million aggregate principal amount of 5.900% Senior Notes, $96 million aggregate principal amount of 6.625% Senior Notes and $291 million of finance lease obligations, which accrued interest at a weighted average interest rate of 4.8%. None of this fixed rate debt subjects us to interest rate risk, but we may be subject to changes in interest rates if and when we refinance this debt at maturity or otherwise.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six month period ended June 30, 2024.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 period ended June 30, 2024. Translation gains or losses, which are recorded in other comprehensive income or loss, result from translation of the assets and liabilities of our foreign subsidiaries into U.S. dollars. For the six month period ended June 30, 2024, foreign currency translation losses, net, totaled approximately $1.4 million and related primarily to our activities in Canada and Mexico.</w:t>
      </w:r>
    </w:p>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2024. We may enter into foreign currency derivative contracts in the future to manage such exposure.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Quarterly Report on Form 10-Q, our management,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2024.</w:t>
      </w:r>
    </w:p>
    <w:p>
      <w:pPr>
        <w:spacing w:after="0" w:line="6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have been no changes in the Company’s internal control over financial reporting during the quarter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Refer to Note 12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2023 Form 10-K.</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Subject to the potential effects of general economic and market conditions, including levels of inflation, interest rates and other market and geopolitical conditions, including regulatory matters, political unrest and military conflicts, on certain of the risks we normally face in operating our business, including those disclosed in our 2023 Form 10-K, there have been no material changes to either the cautionary statement regarding forward-looking statements or to any of the risk factors disclosed in our 2023 Form 10-K, as updated by our Quarterly Reports on Form 10-Q and other filings we make with the SEC.</w:t>
      </w:r>
    </w:p>
    <w:p>
      <w:pPr>
        <w:spacing w:after="0" w:line="1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 period ended June 30, 2024:</w:t>
      </w:r>
    </w:p>
    <w:p>
      <w:pPr>
        <w:sectPr>
          <w:pgSz w:w="11900" w:h="16838" w:orient="portrait"/>
          <w:cols w:equalWidth="0" w:num="1">
            <w:col w:w="11240"/>
          </w:cols>
          <w:pgMar w:left="320" w:top="1109" w:right="339" w:bottom="1440" w:gutter="0" w:footer="0" w:header="0"/>
        </w:sect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April 1 through April 30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May 1 through May 31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June 1 through June 30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08"/>
        </w:trPr>
        <w:tc>
          <w:tcPr>
            <w:tcW w:w="21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jc w:val="center"/>
              <w:ind w:right="44"/>
              <w:spacing w:after="0" w:line="108" w:lineRule="exact"/>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640" w:space="120"/>
            <w:col w:w="4480"/>
          </w:cols>
          <w:pgMar w:left="320" w:top="1109" w:right="339" w:bottom="1440" w:gutter="0" w:footer="0" w:header="0"/>
          <w:type w:val="continuous"/>
        </w:sectPr>
      </w:pPr>
    </w:p>
    <w:p>
      <w:pPr>
        <w:ind w:left="340" w:right="20" w:hanging="332"/>
        <w:spacing w:after="0" w:line="282"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8,023, 10,348 and 6,573 shares reacquired by the Company on the open market pursuant to the Amended ESPPs in April, May and June of 2024, respectively, and 347 shares withheld for income tax purposes in connection with shares issued under compensation and benefit programs in May of 2024.</w:t>
      </w:r>
    </w:p>
    <w:p>
      <w:pPr>
        <w:spacing w:after="0" w:line="13"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the remaining amount available for share repurchases under our March 2020 $150 million share repurchase program, which was publicly announced on March 19, 2020, totaled $77.3 million.</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Quarterly Report on Form 10-Q.</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1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6"/>
          <w:szCs w:val="16"/>
          <w:color w:val="auto"/>
        </w:rPr>
        <w:t>During the three month period ended June 30, 2024, except as provided below, no director or officer (as defined in Rule 16a-1(f) of the Exchange Act) adopted, modified or terminated a contract, instruction or written plan for the purchase or sale of our securities that was intended to satisfy the affirmative defense conditions of Rule</w:t>
      </w:r>
    </w:p>
    <w:p>
      <w:pPr>
        <w:spacing w:after="0"/>
        <w:rPr>
          <w:sz w:val="20"/>
          <w:szCs w:val="20"/>
          <w:color w:val="auto"/>
        </w:rPr>
      </w:pPr>
      <w:r>
        <w:rPr>
          <w:rFonts w:ascii="Times New Roman" w:cs="Times New Roman" w:eastAsia="Times New Roman" w:hAnsi="Times New Roman"/>
          <w:sz w:val="16"/>
          <w:szCs w:val="16"/>
          <w:color w:val="auto"/>
        </w:rPr>
        <w:t>10b5-1(c) or a “non-Rule 10b5-1 trading arrangement,” as defined in Item 408(c) of Regulation S-K: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Type of Plan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Duration of Plan</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 Securities</w:t>
            </w:r>
          </w:p>
        </w:tc>
        <w:tc>
          <w:tcPr>
            <w:tcW w:w="0" w:type="dxa"/>
            <w:vAlign w:val="bottom"/>
          </w:tcPr>
          <w:p>
            <w:pPr>
              <w:spacing w:after="0"/>
              <w:rPr>
                <w:sz w:val="1"/>
                <w:szCs w:val="1"/>
                <w:color w:val="auto"/>
              </w:rPr>
            </w:pPr>
          </w:p>
        </w:tc>
      </w:tr>
      <w:tr>
        <w:trPr>
          <w:trHeight w:val="104"/>
        </w:trPr>
        <w:tc>
          <w:tcPr>
            <w:tcW w:w="1580" w:type="dxa"/>
            <w:vAlign w:val="bottom"/>
            <w:gridSpan w:val="2"/>
            <w:vMerge w:val="continue"/>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2200" w:type="dxa"/>
            <w:vAlign w:val="bottom"/>
            <w:gridSpan w:val="2"/>
            <w:vMerge w:val="continue"/>
          </w:tcPr>
          <w:p>
            <w:pPr>
              <w:spacing w:after="0"/>
              <w:rPr>
                <w:sz w:val="9"/>
                <w:szCs w:val="9"/>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Covered Under the Plan</w:t>
            </w: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E. Apple</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Rule 10b5-1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5/17/2024</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8/15/2024   -   8/28/2026</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Sale of up to 70,000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37" w:name="page38"/>
    <w:bookmarkEnd w:id="37"/>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ectPr>
          <w:pgSz w:w="11900" w:h="16838" w:orient="portrait"/>
          <w:cols w:equalWidth="0" w:num="1">
            <w:col w:w="11220"/>
          </w:cols>
          <w:pgMar w:left="320" w:top="1109" w:right="3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60" w:hanging="39"/>
        <w:spacing w:after="0" w:line="475" w:lineRule="auto"/>
        <w:rPr>
          <w:sz w:val="20"/>
          <w:szCs w:val="20"/>
          <w:color w:val="auto"/>
        </w:rPr>
      </w:pPr>
      <w:r>
        <w:rPr>
          <w:rFonts w:ascii="Times New Roman" w:cs="Times New Roman" w:eastAsia="Times New Roman" w:hAnsi="Times New Roman"/>
          <w:sz w:val="16"/>
          <w:szCs w:val="16"/>
          <w:u w:val="single" w:color="auto"/>
          <w:color w:val="auto"/>
        </w:rPr>
        <w:t xml:space="preserve">Exhibits </w:t>
      </w:r>
      <w:r>
        <w:rPr>
          <w:rFonts w:ascii="Times New Roman" w:cs="Times New Roman" w:eastAsia="Times New Roman" w:hAnsi="Times New Roman"/>
          <w:sz w:val="16"/>
          <w:szCs w:val="16"/>
          <w:color w:val="auto"/>
        </w:rPr>
        <w:t>4.1</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4.2</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u w:val="single" w:color="auto"/>
          <w:color w:val="auto"/>
        </w:rPr>
        <w:t>Description</w:t>
      </w:r>
    </w:p>
    <w:p>
      <w:pPr>
        <w:spacing w:after="0" w:line="86" w:lineRule="exact"/>
        <w:rPr>
          <w:sz w:val="20"/>
          <w:szCs w:val="20"/>
          <w:color w:val="auto"/>
        </w:rPr>
      </w:pPr>
    </w:p>
    <w:p>
      <w:pPr>
        <w:ind w:left="640"/>
        <w:spacing w:after="0" w:line="245" w:lineRule="auto"/>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u w:val="single" w:color="auto"/>
            <w:color w:val="0000FF"/>
          </w:rPr>
          <w:t>Twenty-First Supplemental Indenture, dated as of June 10, 2024, between MasTec, Inc. and U.S. Bank Trust Company, National Association, as trustee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4.2 to our Current Report on Form 8-K filed with the SEC on June 10, 2024 and incorporated by reference herein.</w:t>
      </w:r>
    </w:p>
    <w:p>
      <w:pPr>
        <w:spacing w:after="0" w:line="2" w:lineRule="exact"/>
        <w:rPr>
          <w:sz w:val="20"/>
          <w:szCs w:val="20"/>
          <w:color w:val="auto"/>
        </w:rPr>
      </w:pPr>
    </w:p>
    <w:p>
      <w:pPr>
        <w:ind w:left="640"/>
        <w:spacing w:after="0" w:line="245" w:lineRule="auto"/>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u w:val="single" w:color="auto"/>
            <w:color w:val="0000FF"/>
          </w:rPr>
          <w:t>Form of 5.900% Senior Note due 2029</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incorporated by reference to Exhibit A of Exhibit 4.2 and filed as Exhibit 4.3 to our Current Report on Form 8-K filed with the SEC on June 10, 2024.</w:t>
      </w:r>
    </w:p>
    <w:p>
      <w:pPr>
        <w:spacing w:after="0" w:line="2" w:lineRule="exact"/>
        <w:rPr>
          <w:sz w:val="20"/>
          <w:szCs w:val="20"/>
          <w:color w:val="auto"/>
        </w:rPr>
      </w:pPr>
    </w:p>
    <w:p>
      <w:pPr>
        <w:ind w:left="640" w:right="360"/>
        <w:spacing w:after="0" w:line="245" w:lineRule="auto"/>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u w:val="single" w:color="auto"/>
            <w:color w:val="0000FF"/>
          </w:rPr>
          <w:t>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A to our Definitive Proxy Statement filed with the SEC on</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April 4, 2024 and incorporated by reference herein.</w:t>
      </w:r>
    </w:p>
    <w:p>
      <w:pPr>
        <w:spacing w:after="0" w:line="2" w:lineRule="exact"/>
        <w:rPr>
          <w:sz w:val="20"/>
          <w:szCs w:val="20"/>
          <w:color w:val="auto"/>
        </w:rPr>
      </w:pPr>
    </w:p>
    <w:p>
      <w:pPr>
        <w:ind w:left="640"/>
        <w:spacing w:after="0" w:line="245" w:lineRule="auto"/>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u w:val="single" w:color="auto"/>
            <w:color w:val="0000FF"/>
          </w:rPr>
          <w:t>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B to our Definitive Proxy Statement filed with the SEC on</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April 4, 2024 and incorporated by reference herein.</w:t>
      </w:r>
    </w:p>
    <w:p>
      <w:pPr>
        <w:spacing w:after="0" w:line="1" w:lineRule="exact"/>
        <w:rPr>
          <w:sz w:val="20"/>
          <w:szCs w:val="20"/>
          <w:color w:val="auto"/>
        </w:rPr>
      </w:pPr>
    </w:p>
    <w:p>
      <w:pPr>
        <w:sectPr>
          <w:pgSz w:w="11900" w:h="16838" w:orient="portrait"/>
          <w:cols w:equalWidth="0" w:num="2">
            <w:col w:w="560" w:space="100"/>
            <w:col w:w="10560"/>
          </w:cols>
          <w:pgMar w:left="320" w:top="1109" w:right="359" w:bottom="1440" w:gutter="0" w:footer="0" w:header="0"/>
          <w:type w:val="continuous"/>
        </w:sectPr>
      </w:pPr>
    </w:p>
    <w:tbl>
      <w:tblPr>
        <w:tblLayout w:type="fixed"/>
        <w:tblInd w:w="60" w:type="dxa"/>
        <w:tblCellMar>
          <w:top w:w="0" w:type="dxa"/>
          <w:left w:w="0" w:type="dxa"/>
          <w:bottom w:w="0" w:type="dxa"/>
          <w:right w:w="0" w:type="dxa"/>
        </w:tblCellMar>
      </w:tblPr>
      <w:tr>
        <w:trPr>
          <w:trHeight w:val="178"/>
        </w:trPr>
        <w:tc>
          <w:tcPr>
            <w:tcW w:w="12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31.1*</w:t>
            </w:r>
          </w:p>
        </w:tc>
        <w:tc>
          <w:tcPr>
            <w:tcW w:w="5020" w:type="dxa"/>
            <w:vAlign w:val="bottom"/>
            <w:tcBorders>
              <w:bottom w:val="single" w:sz="8" w:color="0000FF"/>
            </w:tcBorders>
            <w:gridSpan w:val="5"/>
          </w:tcPr>
          <w:p>
            <w:pPr>
              <w:spacing w:after="0" w:line="178" w:lineRule="exact"/>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95.1*</w:t>
            </w:r>
          </w:p>
        </w:tc>
        <w:tc>
          <w:tcPr>
            <w:tcW w:w="4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4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101.INS</w:t>
            </w:r>
          </w:p>
        </w:tc>
        <w:tc>
          <w:tcPr>
            <w:tcW w:w="9700" w:type="dxa"/>
            <w:vAlign w:val="bottom"/>
            <w:gridSpan w:val="6"/>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97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97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20"/>
          </w:cols>
          <w:pgMar w:left="320" w:top="1109" w:right="35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101.SCH</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101.CAL</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101.LAB</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101.PRE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Schema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p>
      <w:pPr>
        <w:spacing w:after="0" w:line="3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The cover page of MasTec, Inc.’s Quarterly Report on Form 10-Q for the quarter ended June 30, 2024, formatted in Inline XBRL (included with the Exhibit 101 attachments).</w:t>
      </w:r>
    </w:p>
    <w:p>
      <w:pPr>
        <w:spacing w:after="0" w:line="317" w:lineRule="exact"/>
        <w:rPr>
          <w:sz w:val="20"/>
          <w:szCs w:val="20"/>
          <w:color w:val="auto"/>
        </w:rPr>
      </w:pPr>
    </w:p>
    <w:p>
      <w:pPr>
        <w:sectPr>
          <w:pgSz w:w="11900" w:h="16838" w:orient="portrait"/>
          <w:cols w:equalWidth="0" w:num="2">
            <w:col w:w="1140" w:space="160"/>
            <w:col w:w="9920"/>
          </w:cols>
          <w:pgMar w:left="320" w:top="1109" w:right="359" w:bottom="1440" w:gutter="0" w:footer="0" w:header="0"/>
          <w:type w:val="continuous"/>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8"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Management contract or compensation plan arrangement.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type w:val="continuous"/>
        </w:sectPr>
      </w:pPr>
    </w:p>
    <w:bookmarkStart w:id="38" w:name="page39"/>
    <w:bookmarkEnd w:id="38"/>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13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August 1, 2024</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2024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1, 2024</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2024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1, 2024</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3" w:name="page44"/>
    <w:bookmarkEnd w:id="43"/>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June 30, 2024. Citations and orders may be contested and appealed, and in that process, may be reduced in severity and amount, and are sometimes dismissed. The table below includes references to specific sections of the Mine Act.</w:t>
      </w:r>
    </w:p>
    <w:p>
      <w:pPr>
        <w:spacing w:after="0" w:line="6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Pending</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w w:val="97"/>
              </w:rPr>
              <w:t>104(d)</w:t>
            </w:r>
          </w:p>
        </w:tc>
        <w:tc>
          <w:tcPr>
            <w:tcW w:w="11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104</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104(b)</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Citations and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110(b)(2)</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107(a)</w:t>
            </w:r>
          </w:p>
        </w:tc>
        <w:tc>
          <w:tcPr>
            <w:tcW w:w="13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Legal</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 ID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Citations</w:t>
            </w:r>
            <w:r>
              <w:rPr>
                <w:rFonts w:ascii="Times New Roman" w:cs="Times New Roman" w:eastAsia="Times New Roman" w:hAnsi="Times New Roman"/>
                <w:sz w:val="19"/>
                <w:szCs w:val="19"/>
                <w:b w:val="1"/>
                <w:bCs w:val="1"/>
                <w:color w:val="auto"/>
                <w:w w:val="95"/>
                <w:vertAlign w:val="superscript"/>
              </w:rPr>
              <w:t>(a)</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4"/>
              </w:rPr>
              <w:t>Orders</w:t>
            </w:r>
            <w:r>
              <w:rPr>
                <w:rFonts w:ascii="Times New Roman" w:cs="Times New Roman" w:eastAsia="Times New Roman" w:hAnsi="Times New Roman"/>
                <w:sz w:val="19"/>
                <w:szCs w:val="19"/>
                <w:b w:val="1"/>
                <w:bCs w:val="1"/>
                <w:color w:val="auto"/>
                <w:w w:val="94"/>
                <w:vertAlign w:val="superscript"/>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Orders</w:t>
            </w:r>
            <w:r>
              <w:rPr>
                <w:rFonts w:ascii="Times New Roman" w:cs="Times New Roman" w:eastAsia="Times New Roman" w:hAnsi="Times New Roman"/>
                <w:sz w:val="19"/>
                <w:szCs w:val="19"/>
                <w:b w:val="1"/>
                <w:bCs w:val="1"/>
                <w:color w:val="auto"/>
                <w:w w:val="93"/>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Violations</w:t>
            </w:r>
            <w:r>
              <w:rPr>
                <w:rFonts w:ascii="Times New Roman" w:cs="Times New Roman" w:eastAsia="Times New Roman" w:hAnsi="Times New Roman"/>
                <w:sz w:val="19"/>
                <w:szCs w:val="19"/>
                <w:b w:val="1"/>
                <w:bCs w:val="1"/>
                <w:color w:val="auto"/>
                <w:w w:val="96"/>
                <w:vertAlign w:val="superscript"/>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Orders</w:t>
            </w:r>
            <w:r>
              <w:rPr>
                <w:rFonts w:ascii="Times New Roman" w:cs="Times New Roman" w:eastAsia="Times New Roman" w:hAnsi="Times New Roman"/>
                <w:sz w:val="19"/>
                <w:szCs w:val="19"/>
                <w:b w:val="1"/>
                <w:bCs w:val="1"/>
                <w:color w:val="auto"/>
                <w:w w:val="96"/>
                <w:vertAlign w:val="superscript"/>
              </w:rPr>
              <w:t>(e)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Assessments</w:t>
            </w:r>
            <w:r>
              <w:rPr>
                <w:rFonts w:ascii="Times New Roman" w:cs="Times New Roman" w:eastAsia="Times New Roman" w:hAnsi="Times New Roman"/>
                <w:sz w:val="19"/>
                <w:szCs w:val="19"/>
                <w:b w:val="1"/>
                <w:bCs w:val="1"/>
                <w:color w:val="auto"/>
                <w:w w:val="97"/>
                <w:vertAlign w:val="superscript"/>
              </w:rPr>
              <w:t>(f)</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Fatalities</w:t>
            </w:r>
            <w:r>
              <w:rPr>
                <w:rFonts w:ascii="Times New Roman" w:cs="Times New Roman" w:eastAsia="Times New Roman" w:hAnsi="Times New Roman"/>
                <w:sz w:val="19"/>
                <w:szCs w:val="19"/>
                <w:b w:val="1"/>
                <w:bCs w:val="1"/>
                <w:color w:val="auto"/>
                <w:vertAlign w:val="superscript"/>
              </w:rPr>
              <w:t>(g)</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Action</w:t>
            </w:r>
            <w:r>
              <w:rPr>
                <w:rFonts w:ascii="Times New Roman" w:cs="Times New Roman" w:eastAsia="Times New Roman" w:hAnsi="Times New Roman"/>
                <w:sz w:val="19"/>
                <w:szCs w:val="19"/>
                <w:b w:val="1"/>
                <w:bCs w:val="1"/>
                <w:color w:val="auto"/>
                <w:w w:val="96"/>
                <w:vertAlign w:val="superscript"/>
              </w:rPr>
              <w:t>(h)</w:t>
            </w:r>
          </w:p>
        </w:tc>
        <w:tc>
          <w:tcPr>
            <w:tcW w:w="0" w:type="dxa"/>
            <w:vAlign w:val="bottom"/>
          </w:tcPr>
          <w:p>
            <w:pPr>
              <w:spacing w:after="0"/>
              <w:rPr>
                <w:sz w:val="1"/>
                <w:szCs w:val="1"/>
                <w:color w:val="auto"/>
              </w:rPr>
            </w:pPr>
          </w:p>
        </w:tc>
      </w:tr>
      <w:tr>
        <w:trPr>
          <w:trHeight w:val="209"/>
        </w:trPr>
        <w:tc>
          <w:tcPr>
            <w:tcW w:w="2800" w:type="dxa"/>
            <w:vAlign w:val="bottom"/>
            <w:tcBorders>
              <w:top w:val="single" w:sz="8" w:color="auto"/>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Arizona / VTW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$294</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Topaz Mine 26-02440</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Mesquite Wash Plant 26-02774</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 / B7441 (1)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Tennessee / B7441 (1)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 / B7441 (1)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Utah / B7441 (1)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 / C4778 (1)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WCC State St Quarry 1103011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69" w:lineRule="exact"/>
        <w:rPr>
          <w:sz w:val="20"/>
          <w:szCs w:val="20"/>
          <w:color w:val="auto"/>
        </w:rPr>
      </w:pPr>
    </w:p>
    <w:p>
      <w:pPr>
        <w:ind w:left="260" w:hanging="252"/>
        <w:spacing w:after="0" w:line="301" w:lineRule="auto"/>
        <w:tabs>
          <w:tab w:leader="none" w:pos="35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quarter ended June 30, 2024,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8" Type="http://schemas.openxmlformats.org/officeDocument/2006/relationships/hyperlink" Target="https://www.sec.gov/Archives/edgar/data/15615/000119312524158356/d765599dex42.htm" TargetMode="External"/><Relationship Id="rId49" Type="http://schemas.openxmlformats.org/officeDocument/2006/relationships/hyperlink" Target="https://www.sec.gov/ix?doc=/Archives/edgar/data/15615/000114036124017972/ny2002112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2024-08-01T16:14:01Z</dcterms:created>
  <dcterms:modified xsi:type="dcterms:W3CDTF">2024-08-01T16:14:01Z</dcterms:modified>
</cp:coreProperties>
</file>