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w:t>
      </w:r>
    </w:p>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w:t>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(Mark One)</w:t>
      </w:r>
    </w:p>
    <w:p>
      <w:pPr>
        <w:pStyle w:val="TextBody"/>
        <w:bidi w:val="0"/>
        <w:spacing w:lineRule="auto" w:line="288" w:before="0" w:after="0"/>
        <w:jc w:val="both"/>
        <w:rPr/>
      </w:pPr>
      <w:r>
        <w:rPr>
          <w:color w:val="000000"/>
        </w:rPr>
        <w:t>☑     </w:t>
      </w:r>
      <w:r>
        <w:rPr>
          <w:rFonts w:ascii="Times New Roman;sans-serif" w:hAnsi="Times New Roman;sans-serif"/>
          <w:b/>
          <w:color w:val="000000"/>
          <w:sz w:val="27"/>
        </w:rPr>
        <w:t>QUARTERLY REPORT 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 the quarterly period ended September 30, 2023</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OR</w:t>
      </w:r>
    </w:p>
    <w:p>
      <w:pPr>
        <w:pStyle w:val="TextBody"/>
        <w:bidi w:val="0"/>
        <w:spacing w:lineRule="auto" w:line="288" w:before="0" w:after="120"/>
        <w:jc w:val="both"/>
        <w:rPr/>
      </w:pPr>
      <w:r>
        <w:rPr>
          <w:color w:val="000000"/>
        </w:rPr>
        <w:t>☐     </w:t>
      </w:r>
      <w:r>
        <w:rPr>
          <w:rFonts w:ascii="Times New Roman;sans-serif" w:hAnsi="Times New Roman;sans-serif"/>
          <w:b/>
          <w:color w:val="000000"/>
          <w:sz w:val="27"/>
        </w:rPr>
        <w:t>TRANSITION REPORT PURSUANT TO SECTION 13 OR 15(d) OF THE SECURITIES EXCHANGE ACT OF 1934</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 the transition period from __ to __</w:t>
      </w:r>
    </w:p>
    <w:p>
      <w:pPr>
        <w:pStyle w:val="TextBody"/>
        <w:bidi w:val="0"/>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Commission File Number 001-08106</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w:t>
      </w:r>
    </w:p>
    <w:p>
      <w:pPr>
        <w:pStyle w:val="TextBody"/>
        <w:bidi w:val="0"/>
        <w:spacing w:before="60" w:after="283"/>
        <w:jc w:val="center"/>
        <w:rPr/>
      </w:pPr>
      <w:r>
        <w:rPr/>
        <w:drawing>
          <wp:inline distT="0" distB="0" distL="0" distR="0">
            <wp:extent cx="1085850" cy="209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85850" cy="209550"/>
                    </a:xfrm>
                    <a:prstGeom prst="rect">
                      <a:avLst/>
                    </a:prstGeom>
                  </pic:spPr>
                </pic:pic>
              </a:graphicData>
            </a:graphic>
          </wp:inline>
        </w:drawing>
      </w:r>
    </w:p>
    <w:p>
      <w:pPr>
        <w:pStyle w:val="TextBody"/>
        <w:bidi w:val="0"/>
        <w:spacing w:lineRule="auto" w:line="288" w:before="60" w:after="283"/>
        <w:jc w:val="center"/>
        <w:rPr>
          <w:rFonts w:ascii="Times New Roman;sans-serif" w:hAnsi="Times New Roman;sans-serif"/>
          <w:b/>
          <w:color w:val="000000"/>
          <w:sz w:val="48"/>
        </w:rPr>
      </w:pPr>
      <w:r>
        <w:rPr>
          <w:rFonts w:ascii="Times New Roman;sans-serif" w:hAnsi="Times New Roman;sans-serif"/>
          <w:b/>
          <w:color w:val="000000"/>
          <w:sz w:val="48"/>
        </w:rPr>
        <w:t>MasTec, Inc.</w:t>
      </w:r>
    </w:p>
    <w:p>
      <w:pPr>
        <w:pStyle w:val="TextBody"/>
        <w:bidi w:val="0"/>
        <w:spacing w:lineRule="auto" w:line="288" w:before="0" w:after="0"/>
        <w:jc w:val="center"/>
        <w:rPr>
          <w:rFonts w:ascii="Times New Roman;sans-serif" w:hAnsi="Times New Roman;sans-serif"/>
          <w:b/>
          <w:i/>
          <w:color w:val="000000"/>
          <w:sz w:val="18"/>
        </w:rPr>
      </w:pPr>
      <w:r>
        <w:rPr>
          <w:rFonts w:ascii="Times New Roman;sans-serif" w:hAnsi="Times New Roman;sans-serif"/>
          <w:b/>
          <w:i/>
          <w:color w:val="000000"/>
          <w:sz w:val="18"/>
        </w:rPr>
        <w:t>(Exact name of registrant as specified in its charter)</w:t>
      </w:r>
    </w:p>
    <w:tbl>
      <w:tblPr>
        <w:tblW w:w="6415" w:type="dxa"/>
        <w:jc w:val="center"/>
        <w:tblInd w:w="0" w:type="dxa"/>
        <w:tblLayout w:type="fixed"/>
        <w:tblCellMar>
          <w:top w:w="28" w:type="dxa"/>
          <w:left w:w="28" w:type="dxa"/>
          <w:bottom w:w="28" w:type="dxa"/>
          <w:right w:w="28" w:type="dxa"/>
        </w:tblCellMar>
      </w:tblPr>
      <w:tblGrid>
        <w:gridCol w:w="734"/>
        <w:gridCol w:w="645"/>
        <w:gridCol w:w="645"/>
        <w:gridCol w:w="645"/>
        <w:gridCol w:w="645"/>
        <w:gridCol w:w="657"/>
        <w:gridCol w:w="714"/>
        <w:gridCol w:w="714"/>
        <w:gridCol w:w="1016"/>
      </w:tblGrid>
      <w:tr>
        <w:trPr/>
        <w:tc>
          <w:tcPr>
            <w:tcW w:w="73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397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Florida</w:t>
            </w:r>
          </w:p>
        </w:tc>
        <w:tc>
          <w:tcPr>
            <w:tcW w:w="24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65-0829355</w:t>
            </w:r>
          </w:p>
        </w:tc>
      </w:tr>
      <w:tr>
        <w:trPr/>
        <w:tc>
          <w:tcPr>
            <w:tcW w:w="397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5"/>
              </w:rPr>
            </w:pPr>
            <w:r>
              <w:rPr>
                <w:rFonts w:ascii="Times New Roman;sans-serif" w:hAnsi="Times New Roman;sans-serif"/>
                <w:b/>
                <w:i/>
                <w:color w:val="000000"/>
                <w:sz w:val="15"/>
              </w:rPr>
              <w:t>(State or other jurisdiction of incorporation or organization)</w:t>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5"/>
              </w:rPr>
            </w:pPr>
            <w:r>
              <w:rPr>
                <w:rFonts w:ascii="Times New Roman;sans-serif" w:hAnsi="Times New Roman;sans-serif"/>
                <w:b/>
                <w:i/>
                <w:color w:val="000000"/>
                <w:sz w:val="15"/>
              </w:rPr>
              <w:t>(I.R.S. Employer Identification No.)</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800 S. Douglas Road, 12th Floor</w:t>
            </w:r>
          </w:p>
        </w:tc>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8"/>
              </w:rPr>
            </w:pPr>
            <w:r>
              <w:rPr>
                <w:rFonts w:ascii="Times New Roman;sans-serif" w:hAnsi="Times New Roman;sans-serif"/>
                <w:b/>
                <w:color w:val="000000"/>
                <w:sz w:val="18"/>
              </w:rPr>
              <w:t>Coral Gables,</w:t>
            </w:r>
          </w:p>
        </w:tc>
        <w:tc>
          <w:tcPr>
            <w:tcW w:w="19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Florida</w:t>
            </w:r>
          </w:p>
        </w:tc>
        <w:tc>
          <w:tcPr>
            <w:tcW w:w="24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33134</w:t>
            </w:r>
          </w:p>
        </w:tc>
      </w:tr>
      <w:tr>
        <w:trPr/>
        <w:tc>
          <w:tcPr>
            <w:tcW w:w="397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5"/>
              </w:rPr>
            </w:pPr>
            <w:r>
              <w:rPr>
                <w:rFonts w:ascii="Times New Roman;sans-serif" w:hAnsi="Times New Roman;sans-serif"/>
                <w:b/>
                <w:i/>
                <w:color w:val="000000"/>
                <w:sz w:val="15"/>
              </w:rPr>
              <w:t>(Address of principal executive offices)</w:t>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5"/>
              </w:rPr>
            </w:pPr>
            <w:r>
              <w:rPr>
                <w:rFonts w:ascii="Times New Roman;sans-serif" w:hAnsi="Times New Roman;sans-serif"/>
                <w:b/>
                <w:i/>
                <w:color w:val="000000"/>
                <w:sz w:val="15"/>
              </w:rPr>
              <w:t>(Zip Code)</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(305) 599-1800</w:t>
      </w:r>
    </w:p>
    <w:p>
      <w:pPr>
        <w:pStyle w:val="TextBody"/>
        <w:bidi w:val="0"/>
        <w:spacing w:lineRule="auto" w:line="288" w:before="0" w:after="0"/>
        <w:jc w:val="center"/>
        <w:rPr>
          <w:rFonts w:ascii="Times New Roman;sans-serif" w:hAnsi="Times New Roman;sans-serif"/>
          <w:b/>
          <w:i/>
          <w:color w:val="000000"/>
          <w:sz w:val="16"/>
        </w:rPr>
      </w:pPr>
      <w:r>
        <w:rPr>
          <w:rFonts w:ascii="Times New Roman;sans-serif" w:hAnsi="Times New Roman;sans-serif"/>
          <w:b/>
          <w:i/>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6868" w:type="dxa"/>
        <w:jc w:val="center"/>
        <w:tblInd w:w="0" w:type="dxa"/>
        <w:tblLayout w:type="fixed"/>
        <w:tblCellMar>
          <w:top w:w="28" w:type="dxa"/>
          <w:left w:w="28" w:type="dxa"/>
          <w:bottom w:w="28" w:type="dxa"/>
          <w:right w:w="28" w:type="dxa"/>
        </w:tblCellMar>
      </w:tblPr>
      <w:tblGrid>
        <w:gridCol w:w="948"/>
        <w:gridCol w:w="835"/>
        <w:gridCol w:w="841"/>
        <w:gridCol w:w="434"/>
        <w:gridCol w:w="434"/>
        <w:gridCol w:w="436"/>
        <w:gridCol w:w="860"/>
        <w:gridCol w:w="860"/>
        <w:gridCol w:w="1220"/>
      </w:tblGrid>
      <w:tr>
        <w:trPr/>
        <w:tc>
          <w:tcPr>
            <w:tcW w:w="94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u w:val="single"/>
              </w:rPr>
            </w:pPr>
            <w:r>
              <w:rPr>
                <w:rFonts w:ascii="Times New Roman;sans-serif" w:hAnsi="Times New Roman;sans-serif"/>
                <w:b/>
                <w:color w:val="000000"/>
                <w:sz w:val="15"/>
                <w:u w:val="single"/>
              </w:rPr>
              <w:t>Title of each class</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u w:val="single"/>
              </w:rPr>
            </w:pPr>
            <w:r>
              <w:rPr>
                <w:rFonts w:ascii="Times New Roman;sans-serif" w:hAnsi="Times New Roman;sans-serif"/>
                <w:b/>
                <w:color w:val="000000"/>
                <w:sz w:val="15"/>
                <w:u w:val="single"/>
              </w:rPr>
              <w:t>Trading symbol(s)</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5"/>
                <w:u w:val="single"/>
              </w:rPr>
            </w:pPr>
            <w:r>
              <w:rPr>
                <w:rFonts w:ascii="Times New Roman;sans-serif" w:hAnsi="Times New Roman;sans-serif"/>
                <w:b/>
                <w:color w:val="000000"/>
                <w:sz w:val="15"/>
                <w:u w:val="single"/>
              </w:rPr>
              <w:t>Name of each exchange on which registered</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$0.10 Par Value</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MTZ</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New York Stock Exchange</w:t>
            </w:r>
          </w:p>
        </w:tc>
      </w:tr>
    </w:tbl>
    <w:p>
      <w:pPr>
        <w:pStyle w:val="TextBody"/>
        <w:bidi w:val="0"/>
        <w:spacing w:before="0" w:after="0"/>
        <w:jc w:val="center"/>
        <w:rPr/>
      </w:pPr>
      <w:r>
        <w:rPr/>
      </w:r>
    </w:p>
    <w:p>
      <w:pPr>
        <w:pStyle w:val="TextBody"/>
        <w:bidi w:val="0"/>
        <w:spacing w:lineRule="auto" w:line="288" w:before="60" w:after="283"/>
        <w:jc w:val="both"/>
        <w:rPr/>
      </w:pPr>
      <w:r>
        <w:rPr>
          <w:color w:val="000000"/>
        </w:rPr>
        <w:t>    </w:t>
      </w: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180" w:after="283"/>
        <w:jc w:val="both"/>
        <w:rPr/>
      </w:pPr>
      <w:r>
        <w:rPr>
          <w:color w:val="000000"/>
        </w:rPr>
        <w:t>    </w:t>
      </w: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180" w:after="283"/>
        <w:jc w:val="both"/>
        <w:rPr>
          <w:color w:val="000000"/>
        </w:rPr>
      </w:pPr>
      <w:r>
        <w:rPr>
          <w:color w:val="000000"/>
        </w:rPr>
        <w:t>    </w:t>
      </w: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31"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8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w:t>
            </w:r>
          </w:p>
        </w:tc>
      </w:tr>
    </w:tbl>
    <w:p>
      <w:pPr>
        <w:pStyle w:val="TextBody"/>
        <w:bidi w:val="0"/>
        <w:spacing w:lineRule="auto" w:line="288" w:before="20" w:after="283"/>
        <w:jc w:val="left"/>
        <w:rPr/>
      </w:pPr>
      <w:r>
        <w:rPr>
          <w:color w:val="000000"/>
        </w:rPr>
        <w:t>    </w:t>
      </w: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both"/>
        <w:rPr/>
      </w:pPr>
      <w:r>
        <w:rPr>
          <w:color w:val="000000"/>
        </w:rPr>
        <w:t>    </w:t>
      </w:r>
      <w:r>
        <w:rPr>
          <w:rFonts w:ascii="Times New Roman;sans-serif" w:hAnsi="Times New Roman;sans-serif"/>
          <w:b w:val="false"/>
          <w:color w:val="000000"/>
          <w:sz w:val="18"/>
        </w:rPr>
        <w:t>Indicate by check mark whether the registrant is a shell company (as defined in Rule 12b-2 of the Act.)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120" w:after="283"/>
        <w:jc w:val="both"/>
        <w:rPr>
          <w:color w:val="000000"/>
        </w:rPr>
      </w:pPr>
      <w:r>
        <w:rPr>
          <w:color w:val="000000"/>
        </w:rPr>
        <w:t>    </w:t>
      </w:r>
      <w:r>
        <w:rPr>
          <w:rFonts w:ascii="Times New Roman;sans-serif" w:hAnsi="Times New Roman;sans-serif"/>
          <w:b w:val="false"/>
          <w:color w:val="000000"/>
          <w:sz w:val="18"/>
        </w:rPr>
        <w:t>As of October 30, 2023, MasTec, Inc. had 78,823,118 shares of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MASTEC,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FORM 10-Q</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QUARTER ENDED SEPTEMBER 30, 2023</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TABLE OF CONTENTS</w:t>
      </w:r>
    </w:p>
    <w:p>
      <w:pPr>
        <w:pStyle w:val="TextBody"/>
        <w:bidi w:val="0"/>
        <w:spacing w:lineRule="auto" w:line="288" w:before="0" w:after="0"/>
        <w:jc w:val="both"/>
        <w:rPr>
          <w:color w:val="000000"/>
        </w:rPr>
      </w:pPr>
      <w:r>
        <w:rPr>
          <w:color w:val="000000"/>
        </w:rPr>
        <w:t> </w:t>
      </w:r>
    </w:p>
    <w:tbl>
      <w:tblPr>
        <w:tblW w:w="8511" w:type="dxa"/>
        <w:jc w:val="center"/>
        <w:tblInd w:w="0" w:type="dxa"/>
        <w:tblLayout w:type="fixed"/>
        <w:tblCellMar>
          <w:top w:w="28" w:type="dxa"/>
          <w:left w:w="28" w:type="dxa"/>
          <w:bottom w:w="28" w:type="dxa"/>
          <w:right w:w="28" w:type="dxa"/>
        </w:tblCellMar>
      </w:tblPr>
      <w:tblGrid>
        <w:gridCol w:w="552"/>
        <w:gridCol w:w="484"/>
        <w:gridCol w:w="484"/>
        <w:gridCol w:w="2149"/>
        <w:gridCol w:w="2149"/>
        <w:gridCol w:w="2197"/>
        <w:gridCol w:w="145"/>
        <w:gridCol w:w="145"/>
        <w:gridCol w:w="206"/>
      </w:tblGrid>
      <w:tr>
        <w:trPr/>
        <w:tc>
          <w:tcPr>
            <w:tcW w:w="55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801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Page</w:t>
            </w:r>
          </w:p>
        </w:tc>
      </w:tr>
      <w:tr>
        <w:trPr/>
        <w:tc>
          <w:tcPr>
            <w:tcW w:w="801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af58ef3fd7a4175b7c285a5da71758c_10">
              <w:r>
                <w:rPr>
                  <w:rStyle w:val="InternetLink"/>
                  <w:rFonts w:ascii="Times New Roman;sans-serif" w:hAnsi="Times New Roman;sans-serif"/>
                  <w:b w:val="false"/>
                  <w:color w:val="0000FF"/>
                  <w:sz w:val="18"/>
                  <w:u w:val="single"/>
                </w:rPr>
                <w:t>Part I. FINANCIAL INFORMATION</w:t>
              </w:r>
            </w:hyperlink>
            <w:r>
              <w:rPr>
                <w:color w:val="000000"/>
              </w:rPr>
              <w:t xml:space="preserve"> </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f58ef3fd7a4175b7c285a5da71758c_10">
              <w:r>
                <w:rPr>
                  <w:rStyle w:val="InternetLink"/>
                  <w:rFonts w:ascii="Times New Roman;sans-serif" w:hAnsi="Times New Roman;sans-serif"/>
                  <w:b w:val="false"/>
                  <w:color w:val="0000FF"/>
                  <w:sz w:val="18"/>
                  <w:u w:val="single"/>
                </w:rPr>
                <w:t>3</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f58ef3fd7a4175b7c285a5da71758c_13">
              <w:r>
                <w:rPr>
                  <w:rStyle w:val="InternetLink"/>
                  <w:rFonts w:ascii="Times New Roman;sans-serif" w:hAnsi="Times New Roman;sans-serif"/>
                  <w:b w:val="false"/>
                  <w:color w:val="0000FF"/>
                  <w:sz w:val="18"/>
                  <w:u w:val="single"/>
                </w:rPr>
                <w:t>Item 1</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f58ef3fd7a4175b7c285a5da71758c_13">
              <w:r>
                <w:rPr>
                  <w:rStyle w:val="InternetLink"/>
                  <w:rFonts w:ascii="Times New Roman;sans-serif" w:hAnsi="Times New Roman;sans-serif"/>
                  <w:b w:val="false"/>
                  <w:color w:val="0000FF"/>
                  <w:sz w:val="18"/>
                  <w:u w:val="single"/>
                </w:rPr>
                <w:t>Financial Statements (Unaudited)</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f58ef3fd7a4175b7c285a5da71758c_13">
              <w:r>
                <w:rPr>
                  <w:rStyle w:val="InternetLink"/>
                  <w:rFonts w:ascii="Times New Roman;sans-serif" w:hAnsi="Times New Roman;sans-serif"/>
                  <w:b w:val="false"/>
                  <w:color w:val="0000FF"/>
                  <w:sz w:val="18"/>
                  <w:u w:val="single"/>
                </w:rPr>
                <w:t>3</w:t>
              </w:r>
            </w:hyperlink>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f58ef3fd7a4175b7c285a5da71758c_16">
              <w:r>
                <w:rPr>
                  <w:rStyle w:val="InternetLink"/>
                  <w:rFonts w:ascii="Times New Roman;sans-serif" w:hAnsi="Times New Roman;sans-serif"/>
                  <w:b w:val="false"/>
                  <w:color w:val="0000FF"/>
                  <w:sz w:val="18"/>
                  <w:u w:val="single"/>
                </w:rPr>
                <w:t>Consolidated Statements of Operations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f58ef3fd7a4175b7c285a5da71758c_16">
              <w:r>
                <w:rPr>
                  <w:rStyle w:val="InternetLink"/>
                  <w:rFonts w:ascii="Times New Roman;sans-serif" w:hAnsi="Times New Roman;sans-serif"/>
                  <w:b w:val="false"/>
                  <w:color w:val="0000FF"/>
                  <w:sz w:val="18"/>
                  <w:u w:val="single"/>
                </w:rPr>
                <w:t>3</w:t>
              </w:r>
            </w:hyperlink>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f58ef3fd7a4175b7c285a5da71758c_19">
              <w:r>
                <w:rPr>
                  <w:rStyle w:val="InternetLink"/>
                  <w:rFonts w:ascii="Times New Roman;sans-serif" w:hAnsi="Times New Roman;sans-serif"/>
                  <w:b w:val="false"/>
                  <w:color w:val="0000FF"/>
                  <w:sz w:val="18"/>
                  <w:u w:val="single"/>
                </w:rPr>
                <w:t>Consolidated Statements of Comprehensive Income (Loss)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f58ef3fd7a4175b7c285a5da71758c_19">
              <w:r>
                <w:rPr>
                  <w:rStyle w:val="InternetLink"/>
                  <w:rFonts w:ascii="Times New Roman;sans-serif" w:hAnsi="Times New Roman;sans-serif"/>
                  <w:b w:val="false"/>
                  <w:color w:val="0000FF"/>
                  <w:sz w:val="18"/>
                  <w:u w:val="single"/>
                </w:rPr>
                <w:t>4</w:t>
              </w:r>
            </w:hyperlink>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f58ef3fd7a4175b7c285a5da71758c_22">
              <w:r>
                <w:rPr>
                  <w:rStyle w:val="InternetLink"/>
                  <w:rFonts w:ascii="Times New Roman;sans-serif" w:hAnsi="Times New Roman;sans-serif"/>
                  <w:b w:val="false"/>
                  <w:color w:val="0000FF"/>
                  <w:sz w:val="18"/>
                  <w:u w:val="single"/>
                </w:rPr>
                <w:t>Consolidated Balance Sheets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f58ef3fd7a4175b7c285a5da71758c_22">
              <w:r>
                <w:rPr>
                  <w:rStyle w:val="InternetLink"/>
                  <w:rFonts w:ascii="Times New Roman;sans-serif" w:hAnsi="Times New Roman;sans-serif"/>
                  <w:b w:val="false"/>
                  <w:color w:val="0000FF"/>
                  <w:sz w:val="18"/>
                  <w:u w:val="single"/>
                </w:rPr>
                <w:t>5</w:t>
              </w:r>
            </w:hyperlink>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f58ef3fd7a4175b7c285a5da71758c_25">
              <w:r>
                <w:rPr>
                  <w:rStyle w:val="InternetLink"/>
                  <w:rFonts w:ascii="Times New Roman;sans-serif" w:hAnsi="Times New Roman;sans-serif"/>
                  <w:b w:val="false"/>
                  <w:color w:val="0000FF"/>
                  <w:sz w:val="18"/>
                  <w:u w:val="single"/>
                </w:rPr>
                <w:t>Consolidated Statements of Equity</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f58ef3fd7a4175b7c285a5da71758c_25">
              <w:r>
                <w:rPr>
                  <w:rStyle w:val="InternetLink"/>
                  <w:rFonts w:ascii="Times New Roman;sans-serif" w:hAnsi="Times New Roman;sans-serif"/>
                  <w:b w:val="false"/>
                  <w:color w:val="0000FF"/>
                  <w:sz w:val="18"/>
                  <w:u w:val="single"/>
                </w:rPr>
                <w:t>6</w:t>
              </w:r>
            </w:hyperlink>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f58ef3fd7a4175b7c285a5da71758c_31">
              <w:r>
                <w:rPr>
                  <w:rStyle w:val="InternetLink"/>
                  <w:rFonts w:ascii="Times New Roman;sans-serif" w:hAnsi="Times New Roman;sans-serif"/>
                  <w:b w:val="false"/>
                  <w:color w:val="0000FF"/>
                  <w:sz w:val="18"/>
                  <w:u w:val="single"/>
                </w:rPr>
                <w:t>Consolidated Statements of Cash Flows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f58ef3fd7a4175b7c285a5da71758c_31">
              <w:r>
                <w:rPr>
                  <w:rStyle w:val="InternetLink"/>
                  <w:rFonts w:ascii="Times New Roman;sans-serif" w:hAnsi="Times New Roman;sans-serif"/>
                  <w:b w:val="false"/>
                  <w:color w:val="0000FF"/>
                  <w:sz w:val="18"/>
                  <w:u w:val="single"/>
                </w:rPr>
                <w:t>8</w:t>
              </w:r>
            </w:hyperlink>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f58ef3fd7a4175b7c285a5da71758c_34">
              <w:r>
                <w:rPr>
                  <w:rStyle w:val="InternetLink"/>
                  <w:rFonts w:ascii="Times New Roman;sans-serif" w:hAnsi="Times New Roman;sans-serif"/>
                  <w:b w:val="false"/>
                  <w:color w:val="0000FF"/>
                  <w:sz w:val="18"/>
                  <w:u w:val="single"/>
                </w:rPr>
                <w:t>Notes to Consolidated Financial Statements (Unaudited)</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f58ef3fd7a4175b7c285a5da71758c_34">
              <w:r>
                <w:rPr>
                  <w:rStyle w:val="InternetLink"/>
                  <w:rFonts w:ascii="Times New Roman;sans-serif" w:hAnsi="Times New Roman;sans-serif"/>
                  <w:b w:val="false"/>
                  <w:color w:val="0000FF"/>
                  <w:sz w:val="18"/>
                  <w:u w:val="single"/>
                </w:rPr>
                <w:t>9</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f58ef3fd7a4175b7c285a5da71758c_88">
              <w:r>
                <w:rPr>
                  <w:rStyle w:val="InternetLink"/>
                  <w:rFonts w:ascii="Times New Roman;sans-serif" w:hAnsi="Times New Roman;sans-serif"/>
                  <w:b w:val="false"/>
                  <w:color w:val="0000FF"/>
                  <w:sz w:val="18"/>
                  <w:u w:val="single"/>
                </w:rPr>
                <w:t>Item 2</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f58ef3fd7a4175b7c285a5da71758c_88">
              <w:r>
                <w:rPr>
                  <w:rStyle w:val="InternetLink"/>
                  <w:rFonts w:ascii="Times New Roman;sans-serif" w:hAnsi="Times New Roman;sans-serif"/>
                  <w:b w:val="false"/>
                  <w:color w:val="0000FF"/>
                  <w:sz w:val="18"/>
                  <w:u w:val="single"/>
                </w:rPr>
                <w:t>Management’s Discussion and Analysis of Financial Condition and Results of Operations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f58ef3fd7a4175b7c285a5da71758c_88">
              <w:r>
                <w:rPr>
                  <w:rStyle w:val="InternetLink"/>
                  <w:rFonts w:ascii="Times New Roman;sans-serif" w:hAnsi="Times New Roman;sans-serif"/>
                  <w:b w:val="false"/>
                  <w:color w:val="0000FF"/>
                  <w:sz w:val="18"/>
                  <w:u w:val="single"/>
                </w:rPr>
                <w:t>30</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f58ef3fd7a4175b7c285a5da71758c_121">
              <w:r>
                <w:rPr>
                  <w:rStyle w:val="InternetLink"/>
                  <w:rFonts w:ascii="Times New Roman;sans-serif" w:hAnsi="Times New Roman;sans-serif"/>
                  <w:b w:val="false"/>
                  <w:color w:val="0000FF"/>
                  <w:sz w:val="18"/>
                  <w:u w:val="single"/>
                </w:rPr>
                <w:t>Item 3</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f58ef3fd7a4175b7c285a5da71758c_121">
              <w:r>
                <w:rPr>
                  <w:rStyle w:val="InternetLink"/>
                  <w:rFonts w:ascii="Times New Roman;sans-serif" w:hAnsi="Times New Roman;sans-serif"/>
                  <w:b w:val="false"/>
                  <w:color w:val="0000FF"/>
                  <w:sz w:val="18"/>
                  <w:u w:val="single"/>
                </w:rPr>
                <w:t>Quantitative and Qualitative Disclosures About Market Risk</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f58ef3fd7a4175b7c285a5da71758c_121">
              <w:r>
                <w:rPr>
                  <w:rStyle w:val="InternetLink"/>
                  <w:rFonts w:ascii="Times New Roman;sans-serif" w:hAnsi="Times New Roman;sans-serif"/>
                  <w:b w:val="false"/>
                  <w:color w:val="0000FF"/>
                  <w:sz w:val="18"/>
                  <w:u w:val="single"/>
                </w:rPr>
                <w:t>43</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f58ef3fd7a4175b7c285a5da71758c_124">
              <w:r>
                <w:rPr>
                  <w:rStyle w:val="InternetLink"/>
                  <w:rFonts w:ascii="Times New Roman;sans-serif" w:hAnsi="Times New Roman;sans-serif"/>
                  <w:b w:val="false"/>
                  <w:color w:val="0000FF"/>
                  <w:sz w:val="18"/>
                  <w:u w:val="single"/>
                </w:rPr>
                <w:t>Item 4</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f58ef3fd7a4175b7c285a5da71758c_124">
              <w:r>
                <w:rPr>
                  <w:rStyle w:val="InternetLink"/>
                  <w:rFonts w:ascii="Times New Roman;sans-serif" w:hAnsi="Times New Roman;sans-serif"/>
                  <w:b w:val="false"/>
                  <w:color w:val="0000FF"/>
                  <w:sz w:val="18"/>
                  <w:u w:val="single"/>
                </w:rPr>
                <w:t>Controls and Procedures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f58ef3fd7a4175b7c285a5da71758c_124">
              <w:r>
                <w:rPr>
                  <w:rStyle w:val="InternetLink"/>
                  <w:rFonts w:ascii="Times New Roman;sans-serif" w:hAnsi="Times New Roman;sans-serif"/>
                  <w:b w:val="false"/>
                  <w:color w:val="0000FF"/>
                  <w:sz w:val="18"/>
                  <w:u w:val="single"/>
                </w:rPr>
                <w:t>44</w:t>
              </w:r>
            </w:hyperlink>
          </w:p>
        </w:tc>
      </w:tr>
      <w:tr>
        <w:trPr/>
        <w:tc>
          <w:tcPr>
            <w:tcW w:w="801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af58ef3fd7a4175b7c285a5da71758c_127">
              <w:r>
                <w:rPr>
                  <w:rStyle w:val="InternetLink"/>
                  <w:rFonts w:ascii="Times New Roman;sans-serif" w:hAnsi="Times New Roman;sans-serif"/>
                  <w:b w:val="false"/>
                  <w:color w:val="0000FF"/>
                  <w:sz w:val="18"/>
                  <w:u w:val="single"/>
                </w:rPr>
                <w:t>Part II. OTHER INFORMATION</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f58ef3fd7a4175b7c285a5da71758c_127">
              <w:r>
                <w:rPr>
                  <w:rStyle w:val="InternetLink"/>
                  <w:rFonts w:ascii="Times New Roman;sans-serif" w:hAnsi="Times New Roman;sans-serif"/>
                  <w:b w:val="false"/>
                  <w:color w:val="0000FF"/>
                  <w:sz w:val="18"/>
                  <w:u w:val="single"/>
                </w:rPr>
                <w:t>46</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f58ef3fd7a4175b7c285a5da71758c_130">
              <w:r>
                <w:rPr>
                  <w:rStyle w:val="InternetLink"/>
                  <w:rFonts w:ascii="Times New Roman;sans-serif" w:hAnsi="Times New Roman;sans-serif"/>
                  <w:b w:val="false"/>
                  <w:color w:val="0000FF"/>
                  <w:sz w:val="18"/>
                  <w:u w:val="single"/>
                </w:rPr>
                <w:t>Item 1</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f58ef3fd7a4175b7c285a5da71758c_130">
              <w:r>
                <w:rPr>
                  <w:rStyle w:val="InternetLink"/>
                  <w:rFonts w:ascii="Times New Roman;sans-serif" w:hAnsi="Times New Roman;sans-serif"/>
                  <w:b w:val="false"/>
                  <w:color w:val="0000FF"/>
                  <w:sz w:val="18"/>
                  <w:u w:val="single"/>
                </w:rPr>
                <w:t>Legal Proceedings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f58ef3fd7a4175b7c285a5da71758c_130">
              <w:r>
                <w:rPr>
                  <w:rStyle w:val="InternetLink"/>
                  <w:rFonts w:ascii="Times New Roman;sans-serif" w:hAnsi="Times New Roman;sans-serif"/>
                  <w:b w:val="false"/>
                  <w:color w:val="0000FF"/>
                  <w:sz w:val="18"/>
                  <w:u w:val="single"/>
                </w:rPr>
                <w:t>46</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f58ef3fd7a4175b7c285a5da71758c_133">
              <w:r>
                <w:rPr>
                  <w:rStyle w:val="InternetLink"/>
                  <w:rFonts w:ascii="Times New Roman;sans-serif" w:hAnsi="Times New Roman;sans-serif"/>
                  <w:b w:val="false"/>
                  <w:color w:val="0000FF"/>
                  <w:sz w:val="18"/>
                  <w:u w:val="single"/>
                </w:rPr>
                <w:t>Item 1A</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f58ef3fd7a4175b7c285a5da71758c_133">
              <w:r>
                <w:rPr>
                  <w:rStyle w:val="InternetLink"/>
                  <w:rFonts w:ascii="Times New Roman;sans-serif" w:hAnsi="Times New Roman;sans-serif"/>
                  <w:b w:val="false"/>
                  <w:color w:val="0000FF"/>
                  <w:sz w:val="18"/>
                  <w:u w:val="single"/>
                </w:rPr>
                <w:t>Risk Factors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f58ef3fd7a4175b7c285a5da71758c_133">
              <w:r>
                <w:rPr>
                  <w:rStyle w:val="InternetLink"/>
                  <w:rFonts w:ascii="Times New Roman;sans-serif" w:hAnsi="Times New Roman;sans-serif"/>
                  <w:b w:val="false"/>
                  <w:color w:val="0000FF"/>
                  <w:sz w:val="18"/>
                  <w:u w:val="single"/>
                </w:rPr>
                <w:t>46</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f58ef3fd7a4175b7c285a5da71758c_136">
              <w:r>
                <w:rPr>
                  <w:rStyle w:val="InternetLink"/>
                  <w:rFonts w:ascii="Times New Roman;sans-serif" w:hAnsi="Times New Roman;sans-serif"/>
                  <w:b w:val="false"/>
                  <w:color w:val="0000FF"/>
                  <w:sz w:val="18"/>
                  <w:u w:val="single"/>
                </w:rPr>
                <w:t>Item 2</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f58ef3fd7a4175b7c285a5da71758c_136">
              <w:r>
                <w:rPr>
                  <w:rStyle w:val="InternetLink"/>
                  <w:rFonts w:ascii="Times New Roman;sans-serif" w:hAnsi="Times New Roman;sans-serif"/>
                  <w:b w:val="false"/>
                  <w:color w:val="000080"/>
                  <w:sz w:val="18"/>
                  <w:u w:val="single"/>
                </w:rPr>
                <w:t>Unregistered Sales of Equity Securities</w:t>
              </w:r>
            </w:hyperlink>
            <w:hyperlink w:anchor="i0af58ef3fd7a4175b7c285a5da71758c_136">
              <w:r>
                <w:rPr>
                  <w:rStyle w:val="InternetLink"/>
                  <w:rFonts w:ascii="Times New Roman;sans-serif" w:hAnsi="Times New Roman;sans-serif"/>
                  <w:b w:val="false"/>
                  <w:color w:val="000080"/>
                  <w:sz w:val="18"/>
                  <w:u w:val="single"/>
                </w:rPr>
                <w:t xml:space="preserve"> and </w:t>
              </w:r>
            </w:hyperlink>
            <w:hyperlink w:anchor="i0af58ef3fd7a4175b7c285a5da71758c_136">
              <w:r>
                <w:rPr>
                  <w:rStyle w:val="InternetLink"/>
                  <w:rFonts w:ascii="Times New Roman;sans-serif" w:hAnsi="Times New Roman;sans-serif"/>
                  <w:b w:val="false"/>
                  <w:color w:val="000080"/>
                  <w:sz w:val="18"/>
                  <w:u w:val="single"/>
                </w:rPr>
                <w:t>Use of Proceeds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f58ef3fd7a4175b7c285a5da71758c_136">
              <w:r>
                <w:rPr>
                  <w:rStyle w:val="InternetLink"/>
                  <w:rFonts w:ascii="Times New Roman;sans-serif" w:hAnsi="Times New Roman;sans-serif"/>
                  <w:b w:val="false"/>
                  <w:color w:val="0000FF"/>
                  <w:sz w:val="18"/>
                  <w:u w:val="single"/>
                </w:rPr>
                <w:t>46</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f58ef3fd7a4175b7c285a5da71758c_139">
              <w:r>
                <w:rPr>
                  <w:rStyle w:val="InternetLink"/>
                  <w:rFonts w:ascii="Times New Roman;sans-serif" w:hAnsi="Times New Roman;sans-serif"/>
                  <w:b w:val="false"/>
                  <w:color w:val="0000FF"/>
                  <w:sz w:val="18"/>
                  <w:u w:val="single"/>
                </w:rPr>
                <w:t>Item 4</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f58ef3fd7a4175b7c285a5da71758c_139">
              <w:r>
                <w:rPr>
                  <w:rStyle w:val="InternetLink"/>
                  <w:rFonts w:ascii="Times New Roman;sans-serif" w:hAnsi="Times New Roman;sans-serif"/>
                  <w:b w:val="false"/>
                  <w:color w:val="0000FF"/>
                  <w:sz w:val="18"/>
                  <w:u w:val="single"/>
                </w:rPr>
                <w:t>Mine Safety Disclosures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f58ef3fd7a4175b7c285a5da71758c_139">
              <w:r>
                <w:rPr>
                  <w:rStyle w:val="InternetLink"/>
                  <w:rFonts w:ascii="Times New Roman;sans-serif" w:hAnsi="Times New Roman;sans-serif"/>
                  <w:b w:val="false"/>
                  <w:color w:val="0000FF"/>
                  <w:sz w:val="18"/>
                  <w:u w:val="single"/>
                </w:rPr>
                <w:t>46</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f58ef3fd7a4175b7c285a5da71758c_142">
              <w:r>
                <w:rPr>
                  <w:rStyle w:val="InternetLink"/>
                  <w:rFonts w:ascii="Times New Roman;sans-serif" w:hAnsi="Times New Roman;sans-serif"/>
                  <w:b w:val="false"/>
                  <w:color w:val="0000FF"/>
                  <w:sz w:val="18"/>
                  <w:u w:val="single"/>
                </w:rPr>
                <w:t>Item 5</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f58ef3fd7a4175b7c285a5da71758c_142">
              <w:r>
                <w:rPr>
                  <w:rStyle w:val="InternetLink"/>
                  <w:rFonts w:ascii="Times New Roman;sans-serif" w:hAnsi="Times New Roman;sans-serif"/>
                  <w:b w:val="false"/>
                  <w:color w:val="0000FF"/>
                  <w:sz w:val="18"/>
                  <w:u w:val="single"/>
                </w:rPr>
                <w:t>Other Information</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f58ef3fd7a4175b7c285a5da71758c_142">
              <w:r>
                <w:rPr>
                  <w:rStyle w:val="InternetLink"/>
                  <w:rFonts w:ascii="Times New Roman;sans-serif" w:hAnsi="Times New Roman;sans-serif"/>
                  <w:b w:val="false"/>
                  <w:color w:val="0000FF"/>
                  <w:sz w:val="18"/>
                  <w:u w:val="single"/>
                </w:rPr>
                <w:t>46</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f58ef3fd7a4175b7c285a5da71758c_145">
              <w:r>
                <w:rPr>
                  <w:rStyle w:val="InternetLink"/>
                  <w:rFonts w:ascii="Times New Roman;sans-serif" w:hAnsi="Times New Roman;sans-serif"/>
                  <w:b w:val="false"/>
                  <w:color w:val="0000FF"/>
                  <w:sz w:val="18"/>
                  <w:u w:val="single"/>
                </w:rPr>
                <w:t>Item 6</w:t>
              </w:r>
            </w:hyperlink>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f58ef3fd7a4175b7c285a5da71758c_145">
              <w:r>
                <w:rPr>
                  <w:rStyle w:val="InternetLink"/>
                  <w:rFonts w:ascii="Times New Roman;sans-serif" w:hAnsi="Times New Roman;sans-serif"/>
                  <w:b w:val="false"/>
                  <w:color w:val="0000FF"/>
                  <w:sz w:val="18"/>
                  <w:u w:val="single"/>
                </w:rPr>
                <w:t>Exhibits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f58ef3fd7a4175b7c285a5da71758c_145">
              <w:r>
                <w:rPr>
                  <w:rStyle w:val="InternetLink"/>
                  <w:rFonts w:ascii="Times New Roman;sans-serif" w:hAnsi="Times New Roman;sans-serif"/>
                  <w:b w:val="false"/>
                  <w:color w:val="0000FF"/>
                  <w:sz w:val="18"/>
                  <w:u w:val="single"/>
                </w:rPr>
                <w:t>47</w:t>
              </w:r>
            </w:hyperlink>
          </w:p>
        </w:tc>
      </w:tr>
      <w:tr>
        <w:trPr/>
        <w:tc>
          <w:tcPr>
            <w:tcW w:w="801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af58ef3fd7a4175b7c285a5da71758c_148">
              <w:r>
                <w:rPr>
                  <w:rStyle w:val="InternetLink"/>
                  <w:rFonts w:ascii="Times New Roman;sans-serif" w:hAnsi="Times New Roman;sans-serif"/>
                  <w:b w:val="false"/>
                  <w:color w:val="0000FF"/>
                  <w:sz w:val="18"/>
                  <w:u w:val="single"/>
                </w:rPr>
                <w:t>SIGNATURES</w:t>
              </w:r>
            </w:hyperlink>
            <w:r>
              <w:rPr>
                <w:color w:val="000000"/>
              </w:rPr>
              <w:t xml:space="preserve"> </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f58ef3fd7a4175b7c285a5da71758c_148">
              <w:r>
                <w:rPr>
                  <w:rStyle w:val="InternetLink"/>
                  <w:rFonts w:ascii="Times New Roman;sans-serif" w:hAnsi="Times New Roman;sans-serif"/>
                  <w:b w:val="false"/>
                  <w:color w:val="0000FF"/>
                  <w:sz w:val="18"/>
                  <w:u w:val="single"/>
                </w:rPr>
                <w:t>48</w:t>
              </w:r>
            </w:hyperlink>
          </w:p>
        </w:tc>
      </w:tr>
    </w:tbl>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80" w:after="283"/>
        <w:jc w:val="left"/>
        <w:rPr>
          <w:rFonts w:ascii="Times New Roman;sans-serif" w:hAnsi="Times New Roman;sans-serif"/>
          <w:b/>
          <w:color w:val="000000"/>
          <w:sz w:val="18"/>
        </w:rPr>
      </w:pPr>
      <w:r>
        <w:rPr>
          <w:rFonts w:ascii="Times New Roman;sans-serif" w:hAnsi="Times New Roman;sans-serif"/>
          <w:b/>
          <w:color w:val="000000"/>
          <w:sz w:val="18"/>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ind w:left="0" w:right="0" w:hanging="1440"/>
        <w:jc w:val="both"/>
        <w:rPr>
          <w:rFonts w:ascii="Times New Roman;sans-serif" w:hAnsi="Times New Roman;sans-serif"/>
          <w:b/>
          <w:color w:val="000000"/>
          <w:sz w:val="18"/>
        </w:rPr>
      </w:pPr>
      <w:r>
        <w:rPr>
          <w:rFonts w:ascii="Times New Roman;sans-serif" w:hAnsi="Times New Roman;sans-serif"/>
          <w:b/>
          <w:color w:val="000000"/>
          <w:sz w:val="18"/>
        </w:rPr>
        <w:t>ITEM 1.     FINANCIAL STATEMENTS</w:t>
      </w:r>
    </w:p>
    <w:p>
      <w:pPr>
        <w:pStyle w:val="TextBody"/>
        <w:bidi w:val="0"/>
        <w:spacing w:before="0" w:after="0"/>
        <w:ind w:left="0" w:right="0" w:hanging="14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MASTEC,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OPERATIONS</w:t>
      </w:r>
    </w:p>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(unaudited - in thousands, except per share amounts)</w:t>
      </w:r>
    </w:p>
    <w:tbl>
      <w:tblPr>
        <w:tblW w:w="10205" w:type="dxa"/>
        <w:jc w:val="left"/>
        <w:tblInd w:w="0" w:type="dxa"/>
        <w:tblLayout w:type="fixed"/>
        <w:tblCellMar>
          <w:top w:w="28" w:type="dxa"/>
          <w:left w:w="28" w:type="dxa"/>
          <w:bottom w:w="28" w:type="dxa"/>
          <w:right w:w="28" w:type="dxa"/>
        </w:tblCellMar>
      </w:tblPr>
      <w:tblGrid>
        <w:gridCol w:w="1245"/>
        <w:gridCol w:w="1037"/>
        <w:gridCol w:w="1046"/>
        <w:gridCol w:w="240"/>
        <w:gridCol w:w="1068"/>
        <w:gridCol w:w="133"/>
        <w:gridCol w:w="133"/>
        <w:gridCol w:w="133"/>
        <w:gridCol w:w="133"/>
        <w:gridCol w:w="240"/>
        <w:gridCol w:w="1068"/>
        <w:gridCol w:w="133"/>
        <w:gridCol w:w="109"/>
        <w:gridCol w:w="109"/>
        <w:gridCol w:w="109"/>
        <w:gridCol w:w="234"/>
        <w:gridCol w:w="1044"/>
        <w:gridCol w:w="130"/>
        <w:gridCol w:w="130"/>
        <w:gridCol w:w="130"/>
        <w:gridCol w:w="130"/>
        <w:gridCol w:w="234"/>
        <w:gridCol w:w="1044"/>
        <w:gridCol w:w="193"/>
      </w:tblGrid>
      <w:tr>
        <w:trPr/>
        <w:tc>
          <w:tcPr>
            <w:tcW w:w="124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Nine Months Ended September 30, </w:t>
            </w:r>
          </w:p>
        </w:tc>
      </w:tr>
      <w:tr>
        <w:trPr/>
        <w:tc>
          <w:tcPr>
            <w:tcW w:w="3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3,257,077 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2,513,484 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8,715,851 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6,769,677 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of revenue, excluding depreciation and amortization</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2,857,118 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2,187,835 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7,701,392 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5,949,262 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115,033 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91,291 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325,318 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263,487 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42,266 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27,979 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126,252 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81,242 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expenses</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180,640 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125,068 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520,709 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404,243 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62,556 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26,885 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174,664 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62,313 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of unconsolidated affiliates, net</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(23,434)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(19,423)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8"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3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(16,623)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(26,332)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income taxes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22,874 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60,311 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(82,718)</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30,450 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benefit from income taxes</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34,231 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15,305 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49,222 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(48,487)</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30,518 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non-controlling interests</w:t>
            </w:r>
          </w:p>
        </w:tc>
        <w:tc>
          <w:tcPr>
            <w:tcW w:w="13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MasTec, Inc.</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48,896 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(50,702)</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30,130 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(loss) per share (Note 2):</w:t>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earnings (loss) per share</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weighted average common shares outstanding</w:t>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77,640 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73,936 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77,418 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74,386 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earnings (loss) per share</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weighted average common shares outstanding</w:t>
            </w:r>
          </w:p>
        </w:tc>
        <w:tc>
          <w:tcPr>
            <w:tcW w:w="130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78,455 </w:t>
            </w:r>
          </w:p>
        </w:tc>
        <w:tc>
          <w:tcPr>
            <w:tcW w:w="1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75,073 </w:t>
            </w:r>
          </w:p>
        </w:tc>
        <w:tc>
          <w:tcPr>
            <w:tcW w:w="1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77,418 </w:t>
            </w:r>
          </w:p>
        </w:tc>
        <w:tc>
          <w:tcPr>
            <w:tcW w:w="1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75,576 </w:t>
            </w:r>
          </w:p>
        </w:tc>
        <w:tc>
          <w:tcPr>
            <w:tcW w:w="19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MASTEC,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COMPREHENSIVE INCOME (LOSS)</w:t>
      </w:r>
    </w:p>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(unaudited - in thousands)</w:t>
      </w:r>
    </w:p>
    <w:tbl>
      <w:tblPr>
        <w:tblW w:w="10205" w:type="dxa"/>
        <w:jc w:val="left"/>
        <w:tblInd w:w="0" w:type="dxa"/>
        <w:tblLayout w:type="fixed"/>
        <w:tblCellMar>
          <w:top w:w="28" w:type="dxa"/>
          <w:left w:w="28" w:type="dxa"/>
          <w:bottom w:w="28" w:type="dxa"/>
          <w:right w:w="28" w:type="dxa"/>
        </w:tblCellMar>
      </w:tblPr>
      <w:tblGrid>
        <w:gridCol w:w="1323"/>
        <w:gridCol w:w="1154"/>
        <w:gridCol w:w="1106"/>
        <w:gridCol w:w="277"/>
        <w:gridCol w:w="914"/>
        <w:gridCol w:w="154"/>
        <w:gridCol w:w="154"/>
        <w:gridCol w:w="154"/>
        <w:gridCol w:w="154"/>
        <w:gridCol w:w="277"/>
        <w:gridCol w:w="914"/>
        <w:gridCol w:w="154"/>
        <w:gridCol w:w="109"/>
        <w:gridCol w:w="109"/>
        <w:gridCol w:w="109"/>
        <w:gridCol w:w="263"/>
        <w:gridCol w:w="952"/>
        <w:gridCol w:w="146"/>
        <w:gridCol w:w="146"/>
        <w:gridCol w:w="146"/>
        <w:gridCol w:w="146"/>
        <w:gridCol w:w="263"/>
        <w:gridCol w:w="868"/>
        <w:gridCol w:w="213"/>
      </w:tblGrid>
      <w:tr>
        <w:trPr/>
        <w:tc>
          <w:tcPr>
            <w:tcW w:w="1323"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Nine Months Ended September 30, </w:t>
            </w:r>
          </w:p>
        </w:tc>
      </w:tr>
      <w:tr>
        <w:trPr/>
        <w:tc>
          <w:tcPr>
            <w:tcW w:w="3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(48,487)</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30,518 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(losses) gains, net of tax</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(4,212)</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gains on investment activity, net of tax</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31,667 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(43,623)</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57,973 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attributable to non-controlling interests</w:t>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2,215 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 attributable to MasTec, Inc.</w:t>
            </w:r>
          </w:p>
        </w:tc>
        <w:tc>
          <w:tcPr>
            <w:tcW w:w="2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17,082 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55,584 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(45,838)</w:t>
            </w:r>
          </w:p>
        </w:tc>
        <w:tc>
          <w:tcPr>
            <w:tcW w:w="1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57,585 </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MASTEC,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BALANCE SHEETS</w:t>
      </w:r>
    </w:p>
    <w:p>
      <w:pPr>
        <w:pStyle w:val="TextBody"/>
        <w:bidi w:val="0"/>
        <w:spacing w:lineRule="auto" w:line="288" w:before="0" w:after="0"/>
        <w:jc w:val="center"/>
        <w:rPr/>
      </w:pPr>
      <w:r>
        <w:rPr>
          <w:color w:val="000000"/>
        </w:rPr>
        <w:t> </w:t>
      </w:r>
      <w:r>
        <w:rPr>
          <w:rFonts w:ascii="Times New Roman;sans-serif" w:hAnsi="Times New Roman;sans-serif"/>
          <w:b/>
          <w:color w:val="000000"/>
          <w:sz w:val="18"/>
        </w:rPr>
        <w:t>(unaudited - in thousands, except share information)</w:t>
      </w:r>
    </w:p>
    <w:tbl>
      <w:tblPr>
        <w:tblW w:w="10205" w:type="dxa"/>
        <w:jc w:val="left"/>
        <w:tblInd w:w="0" w:type="dxa"/>
        <w:tblLayout w:type="fixed"/>
        <w:tblCellMar>
          <w:top w:w="28" w:type="dxa"/>
          <w:left w:w="28" w:type="dxa"/>
          <w:bottom w:w="28" w:type="dxa"/>
          <w:right w:w="28" w:type="dxa"/>
        </w:tblCellMar>
      </w:tblPr>
      <w:tblGrid>
        <w:gridCol w:w="2877"/>
        <w:gridCol w:w="2303"/>
        <w:gridCol w:w="2290"/>
        <w:gridCol w:w="197"/>
        <w:gridCol w:w="878"/>
        <w:gridCol w:w="109"/>
        <w:gridCol w:w="109"/>
        <w:gridCol w:w="109"/>
        <w:gridCol w:w="109"/>
        <w:gridCol w:w="196"/>
        <w:gridCol w:w="871"/>
        <w:gridCol w:w="157"/>
      </w:tblGrid>
      <w:tr>
        <w:trPr/>
        <w:tc>
          <w:tcPr>
            <w:tcW w:w="2877"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370,592 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of allowance</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1,399,732 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1,967,046 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1,729,886 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 net</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122,308 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4,038,533 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3,859,127 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1,729,840 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1,754,101 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279,534 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net</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2,118,866 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2,045,041 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 assets, net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946,299 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409,157 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9,529,727 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9,293,259 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and equity</w:t>
            </w:r>
          </w:p>
        </w:tc>
        <w:tc>
          <w:tcPr>
            <w:tcW w:w="11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 including finance leases</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171,916 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operating lease liabilities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1,109,867 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salaries and wages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181,888 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accrued expenses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365,971 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406,232 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2,811,293 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2,496,037 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including finance leases</w:t>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3,029,939 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3,052,193 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operating lease liabilities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194,050 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571,401 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238,391 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6,816,006 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6,552,072 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Commitments and contingencies </w:t>
            </w:r>
            <w:r>
              <w:rPr>
                <w:rFonts w:ascii="Times New Roman;sans-serif" w:hAnsi="Times New Roman;sans-serif"/>
                <w:b w:val="false"/>
                <w:color w:val="000000"/>
                <w:sz w:val="16"/>
              </w:rPr>
              <w:t>(</w:t>
            </w:r>
            <w:r>
              <w:rPr>
                <w:rFonts w:ascii="Times New Roman;sans-serif" w:hAnsi="Times New Roman;sans-serif"/>
                <w:b w:val="false"/>
                <w:color w:val="000000"/>
                <w:sz w:val="18"/>
              </w:rPr>
              <w:t>Note 14</w:t>
            </w:r>
            <w:r>
              <w:rPr>
                <w:rFonts w:ascii="Times New Roman;sans-serif" w:hAnsi="Times New Roman;sans-serif"/>
                <w:b w:val="false"/>
                <w:color w:val="000000"/>
                <w:sz w:val="16"/>
              </w:rPr>
              <w:t>)</w:t>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w:t>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$1.00 par value: authorized shares - 5,000,000; issued and outstanding shares – none</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$0.10 par value: authorized shares - 145,000,000; issued shares - 98,638,673 and 98,615,105 (including 1,329,340 and 2,047,130 of unvested stock awards) as of September 30, 2023 and December 31, 2022, respectively</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surplus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1,246,590 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2,145,040 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2,195,742 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(50,955)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19,813,055 and 19,933,055 shares as of September 30, 2023 and December 31, 2022, respectively</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(663,910)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MasTec, Inc. shareholders’ equity</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2,703,344 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2,737,329 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2,713,721 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2,741,187 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equity</w:t>
            </w:r>
          </w:p>
        </w:tc>
        <w:tc>
          <w:tcPr>
            <w:tcW w:w="1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9,529,727 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9,293,259 </w:t>
            </w:r>
          </w:p>
        </w:tc>
        <w:tc>
          <w:tcPr>
            <w:tcW w:w="1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MASTEC,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EQUITY</w:t>
      </w:r>
    </w:p>
    <w:p>
      <w:pPr>
        <w:pStyle w:val="TextBody"/>
        <w:bidi w:val="0"/>
        <w:spacing w:lineRule="auto" w:line="288" w:before="0" w:after="60"/>
        <w:jc w:val="center"/>
        <w:rPr/>
      </w:pPr>
      <w:r>
        <w:rPr>
          <w:rFonts w:ascii="Times New Roman;sans-serif" w:hAnsi="Times New Roman;sans-serif"/>
          <w:b/>
          <w:color w:val="000000"/>
          <w:sz w:val="18"/>
        </w:rPr>
        <w:t>(unaudited - in thousands, except shares)</w:t>
      </w:r>
      <w:r>
        <w:rPr>
          <w:color w:val="000000"/>
        </w:rPr>
        <w:t> </w:t>
      </w:r>
    </w:p>
    <w:tbl>
      <w:tblPr>
        <w:tblW w:w="15851" w:type="dxa"/>
        <w:jc w:val="left"/>
        <w:tblInd w:w="0" w:type="dxa"/>
        <w:tblLayout w:type="fixed"/>
        <w:tblCellMar>
          <w:top w:w="28" w:type="dxa"/>
          <w:left w:w="28" w:type="dxa"/>
          <w:bottom w:w="28" w:type="dxa"/>
          <w:right w:w="28" w:type="dxa"/>
        </w:tblCellMar>
      </w:tblPr>
      <w:tblGrid>
        <w:gridCol w:w="582"/>
        <w:gridCol w:w="301"/>
        <w:gridCol w:w="303"/>
        <w:gridCol w:w="480"/>
        <w:gridCol w:w="481"/>
        <w:gridCol w:w="211"/>
        <w:gridCol w:w="109"/>
        <w:gridCol w:w="109"/>
        <w:gridCol w:w="109"/>
        <w:gridCol w:w="196"/>
        <w:gridCol w:w="556"/>
        <w:gridCol w:w="109"/>
        <w:gridCol w:w="109"/>
        <w:gridCol w:w="109"/>
        <w:gridCol w:w="109"/>
        <w:gridCol w:w="488"/>
        <w:gridCol w:w="488"/>
        <w:gridCol w:w="211"/>
        <w:gridCol w:w="109"/>
        <w:gridCol w:w="109"/>
        <w:gridCol w:w="109"/>
        <w:gridCol w:w="196"/>
        <w:gridCol w:w="751"/>
        <w:gridCol w:w="109"/>
        <w:gridCol w:w="109"/>
        <w:gridCol w:w="109"/>
        <w:gridCol w:w="109"/>
        <w:gridCol w:w="196"/>
        <w:gridCol w:w="871"/>
        <w:gridCol w:w="109"/>
        <w:gridCol w:w="109"/>
        <w:gridCol w:w="109"/>
        <w:gridCol w:w="109"/>
        <w:gridCol w:w="196"/>
        <w:gridCol w:w="871"/>
        <w:gridCol w:w="109"/>
        <w:gridCol w:w="109"/>
        <w:gridCol w:w="109"/>
        <w:gridCol w:w="109"/>
        <w:gridCol w:w="264"/>
        <w:gridCol w:w="893"/>
        <w:gridCol w:w="149"/>
        <w:gridCol w:w="109"/>
        <w:gridCol w:w="109"/>
        <w:gridCol w:w="109"/>
        <w:gridCol w:w="197"/>
        <w:gridCol w:w="878"/>
        <w:gridCol w:w="111"/>
        <w:gridCol w:w="109"/>
        <w:gridCol w:w="109"/>
        <w:gridCol w:w="109"/>
        <w:gridCol w:w="284"/>
        <w:gridCol w:w="938"/>
        <w:gridCol w:w="159"/>
        <w:gridCol w:w="109"/>
        <w:gridCol w:w="109"/>
        <w:gridCol w:w="109"/>
        <w:gridCol w:w="196"/>
        <w:gridCol w:w="871"/>
        <w:gridCol w:w="154"/>
      </w:tblGrid>
      <w:tr>
        <w:trPr/>
        <w:tc>
          <w:tcPr>
            <w:tcW w:w="58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Capital Surplus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Total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MasTec, Inc.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Total Equity </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For the Three Months Ended September 30, 2023</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June 30, 2023</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98,674,249 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(19,813,055)</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(659,913)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1,247,231 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2,130,744 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(48,877)</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2,679,052 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2,688,420 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stock-based compensation</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Forfeiture of restricted shares,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for taxes, net of other stock issuances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September 30, 2023</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98,638,673 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(19,813,055)</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(659,913)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2,145,040 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(46,091)</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2,703,344 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2,713,721 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For the Three Months Ended September 30, 2022</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June 30, 2022</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95,491,405 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(19,933,055)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(663,910)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2,143,622 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(58,009)</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2,480,828 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2,484,942 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1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48,896 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stock-based compensation</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Forfeiture of restricted shares,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(23,312)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for taxes, net of other stock issuances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September 30, 2022</w:t>
            </w:r>
          </w:p>
        </w:tc>
        <w:tc>
          <w:tcPr>
            <w:tcW w:w="96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95,467,645 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(19,933,055)</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(663,910)</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1,055,239 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2,192,518 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(51,321)</w:t>
            </w:r>
          </w:p>
        </w:tc>
        <w:tc>
          <w:tcPr>
            <w:tcW w:w="1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2,542,073 </w:t>
            </w:r>
          </w:p>
        </w:tc>
        <w:tc>
          <w:tcPr>
            <w:tcW w:w="1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4,440 </w:t>
            </w:r>
          </w:p>
        </w:tc>
        <w:tc>
          <w:tcPr>
            <w:tcW w:w="1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2,546,513 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MASTEC,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EQUITY</w:t>
      </w:r>
    </w:p>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(unaudited - in thousands, except shares)</w:t>
      </w:r>
    </w:p>
    <w:tbl>
      <w:tblPr>
        <w:tblW w:w="16136" w:type="dxa"/>
        <w:jc w:val="left"/>
        <w:tblInd w:w="0" w:type="dxa"/>
        <w:tblLayout w:type="fixed"/>
        <w:tblCellMar>
          <w:top w:w="28" w:type="dxa"/>
          <w:left w:w="28" w:type="dxa"/>
          <w:bottom w:w="28" w:type="dxa"/>
          <w:right w:w="28" w:type="dxa"/>
        </w:tblCellMar>
      </w:tblPr>
      <w:tblGrid>
        <w:gridCol w:w="867"/>
        <w:gridCol w:w="301"/>
        <w:gridCol w:w="303"/>
        <w:gridCol w:w="480"/>
        <w:gridCol w:w="481"/>
        <w:gridCol w:w="211"/>
        <w:gridCol w:w="109"/>
        <w:gridCol w:w="109"/>
        <w:gridCol w:w="109"/>
        <w:gridCol w:w="196"/>
        <w:gridCol w:w="556"/>
        <w:gridCol w:w="109"/>
        <w:gridCol w:w="109"/>
        <w:gridCol w:w="109"/>
        <w:gridCol w:w="109"/>
        <w:gridCol w:w="488"/>
        <w:gridCol w:w="488"/>
        <w:gridCol w:w="211"/>
        <w:gridCol w:w="109"/>
        <w:gridCol w:w="109"/>
        <w:gridCol w:w="109"/>
        <w:gridCol w:w="196"/>
        <w:gridCol w:w="751"/>
        <w:gridCol w:w="109"/>
        <w:gridCol w:w="109"/>
        <w:gridCol w:w="109"/>
        <w:gridCol w:w="109"/>
        <w:gridCol w:w="196"/>
        <w:gridCol w:w="871"/>
        <w:gridCol w:w="109"/>
        <w:gridCol w:w="109"/>
        <w:gridCol w:w="109"/>
        <w:gridCol w:w="109"/>
        <w:gridCol w:w="196"/>
        <w:gridCol w:w="871"/>
        <w:gridCol w:w="109"/>
        <w:gridCol w:w="109"/>
        <w:gridCol w:w="109"/>
        <w:gridCol w:w="109"/>
        <w:gridCol w:w="264"/>
        <w:gridCol w:w="893"/>
        <w:gridCol w:w="149"/>
        <w:gridCol w:w="109"/>
        <w:gridCol w:w="109"/>
        <w:gridCol w:w="109"/>
        <w:gridCol w:w="197"/>
        <w:gridCol w:w="878"/>
        <w:gridCol w:w="111"/>
        <w:gridCol w:w="109"/>
        <w:gridCol w:w="109"/>
        <w:gridCol w:w="109"/>
        <w:gridCol w:w="284"/>
        <w:gridCol w:w="938"/>
        <w:gridCol w:w="159"/>
        <w:gridCol w:w="109"/>
        <w:gridCol w:w="109"/>
        <w:gridCol w:w="109"/>
        <w:gridCol w:w="196"/>
        <w:gridCol w:w="871"/>
        <w:gridCol w:w="154"/>
      </w:tblGrid>
      <w:tr>
        <w:trPr/>
        <w:tc>
          <w:tcPr>
            <w:tcW w:w="86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Capital Surplus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Total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MasTec, Inc.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Total Equity </w:t>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For the Nine Months Ended September 30, 2023</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2022</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98,615,105 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(19,933,055)</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(663,910)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1,246,590 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2,195,742 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(50,955)</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2,737,329 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2,741,187 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w:t>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(50,702)</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(48,487)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stock-based compensation</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24,336 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shares,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137,406 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for taxes, net of other stock issuances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(117,950)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Issuance of shares in connection with acquisition </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non-controlling interests</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Acquisition-related assumption of non-controlling interest</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September 30,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98,638,673 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(19,813,055)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(659,913)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2,145,040 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(46,091)</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2,703,344 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2,713,721 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For the Nine Months Ended September 30, 2022</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2021</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95,371,211 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(18,941,926)</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(586,955)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2,162,388 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(78,776)</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2,539,809 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2,543,861 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30,130 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27,455 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stock-based compensation</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18,870 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shares,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145,450 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for taxes, net of other stock issuances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(49,016)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shares in connection with acquisition</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133,157 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treasury stock, at cost</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(1,124,286)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(81,291)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September 30, 2022</w:t>
            </w:r>
          </w:p>
        </w:tc>
        <w:tc>
          <w:tcPr>
            <w:tcW w:w="96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95,467,645 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(19,933,055)</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(663,910)</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1,055,239 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2,192,518 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(51,321)</w:t>
            </w:r>
          </w:p>
        </w:tc>
        <w:tc>
          <w:tcPr>
            <w:tcW w:w="1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2,542,073 </w:t>
            </w:r>
          </w:p>
        </w:tc>
        <w:tc>
          <w:tcPr>
            <w:tcW w:w="1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4,440 </w:t>
            </w:r>
          </w:p>
        </w:tc>
        <w:tc>
          <w:tcPr>
            <w:tcW w:w="1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2,546,513 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MASTEC,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CASH FLOWS</w:t>
      </w:r>
    </w:p>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(unaudited - in thousands)</w:t>
      </w:r>
    </w:p>
    <w:tbl>
      <w:tblPr>
        <w:tblW w:w="9867" w:type="dxa"/>
        <w:jc w:val="center"/>
        <w:tblInd w:w="0" w:type="dxa"/>
        <w:tblLayout w:type="fixed"/>
        <w:tblCellMar>
          <w:top w:w="28" w:type="dxa"/>
          <w:left w:w="28" w:type="dxa"/>
          <w:bottom w:w="28" w:type="dxa"/>
          <w:right w:w="28" w:type="dxa"/>
        </w:tblCellMar>
      </w:tblPr>
      <w:tblGrid>
        <w:gridCol w:w="2309"/>
        <w:gridCol w:w="2025"/>
        <w:gridCol w:w="2041"/>
        <w:gridCol w:w="263"/>
        <w:gridCol w:w="1088"/>
        <w:gridCol w:w="146"/>
        <w:gridCol w:w="146"/>
        <w:gridCol w:w="146"/>
        <w:gridCol w:w="146"/>
        <w:gridCol w:w="263"/>
        <w:gridCol w:w="1088"/>
        <w:gridCol w:w="206"/>
      </w:tblGrid>
      <w:tr>
        <w:trPr/>
        <w:tc>
          <w:tcPr>
            <w:tcW w:w="2309"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Nine Months Ended September 30, </w:t>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4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30,518 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income to net cash provided by operating activities:</w:t>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325,318 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263,487 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126,252 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81,242 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stock-based compensation expense</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24,336 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18,870 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from deferred income taxes</w:t>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(77,781)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(9,293)</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r>
      <w:tr>
        <w:trPr/>
        <w:tc>
          <w:tcPr>
            <w:tcW w:w="6375"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of unconsolidated affiliates, net</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(19,423)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Gains on sales of assets, net</w:t>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(19,082)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(21,914)</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 net</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items, net</w:t>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Changes in assets and liabilities, net of acquisitions:</w:t>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(118,448)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(22,065)</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(383,053)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24,569 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(36,130)</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current and long-term portion</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76,234 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34,060 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expenses</w:t>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104,755 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293,899 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70,976 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(66,027)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 current and long-term portion</w:t>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(32,477)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(49,675)</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196,572 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118,671 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4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acquisitions, net of cash acquired</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(71,841)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(157,369)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(213,325)</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of property and equipment</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55,936 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47,195 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other investments</w:t>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(3,723)</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other investments</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investing activities, net</w:t>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(171,683)</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(241,694)</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4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credit facilities</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3,256,200 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2,578,000 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credit facilities</w:t>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(3,268,763)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(2,429,583)</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r>
      <w:tr>
        <w:trPr/>
        <w:tc>
          <w:tcPr>
            <w:tcW w:w="6375"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finance lease obligations</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(131,259)</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Repurchases of common stock</w:t>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(81,291)</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acquisition-related contingent consideration</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(35,149)</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acquisition-related contingent assets</w:t>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(17,636)</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to non-controlling interests, including acquisition of interests and distributions</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stock-based awards</w:t>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(4,061)</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r>
      <w:tr>
        <w:trPr/>
        <w:tc>
          <w:tcPr>
            <w:tcW w:w="6375"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 activities, net</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(18,499)</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(181,587)</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(139,478)</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currency translation on cash</w:t>
            </w:r>
          </w:p>
        </w:tc>
        <w:tc>
          <w:tcPr>
            <w:tcW w:w="13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(2,559)</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and cash equivalents</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(156,418)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(265,060)</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 beginning of period</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370,592 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360,736 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 end of period</w:t>
            </w:r>
          </w:p>
        </w:tc>
        <w:tc>
          <w:tcPr>
            <w:tcW w:w="2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214,174 </w:t>
            </w:r>
          </w:p>
        </w:tc>
        <w:tc>
          <w:tcPr>
            <w:tcW w:w="1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95,676 </w:t>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594" w:type="dxa"/>
        <w:jc w:val="center"/>
        <w:tblInd w:w="0" w:type="dxa"/>
        <w:tblLayout w:type="fixed"/>
        <w:tblCellMar>
          <w:top w:w="28" w:type="dxa"/>
          <w:left w:w="28" w:type="dxa"/>
          <w:bottom w:w="28" w:type="dxa"/>
          <w:right w:w="28" w:type="dxa"/>
        </w:tblCellMar>
      </w:tblPr>
      <w:tblGrid>
        <w:gridCol w:w="1500"/>
        <w:gridCol w:w="1314"/>
        <w:gridCol w:w="1326"/>
        <w:gridCol w:w="196"/>
        <w:gridCol w:w="736"/>
        <w:gridCol w:w="109"/>
        <w:gridCol w:w="109"/>
        <w:gridCol w:w="109"/>
        <w:gridCol w:w="109"/>
        <w:gridCol w:w="196"/>
        <w:gridCol w:w="736"/>
        <w:gridCol w:w="154"/>
      </w:tblGrid>
      <w:tr>
        <w:trPr/>
        <w:tc>
          <w:tcPr>
            <w:tcW w:w="1500"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ind w:left="0" w:right="0" w:hanging="225"/>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cash flow information: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25"/>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paid, net of refunds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ind w:left="0" w:right="0" w:hanging="225"/>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 of non-cash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25"/>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to property and equipment from finance leases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6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MASTEC,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18"/>
        </w:rPr>
      </w:pPr>
      <w:r>
        <w:rPr>
          <w:rFonts w:ascii="Times New Roman;sans-serif" w:hAnsi="Times New Roman;sans-serif"/>
          <w:b/>
          <w:color w:val="000000"/>
          <w:sz w:val="18"/>
        </w:rPr>
        <w:t>Note 1 – Business, Basis of Presentation and Significant Accounting Policies</w:t>
      </w:r>
    </w:p>
    <w:p>
      <w:pPr>
        <w:pStyle w:val="TextBody"/>
        <w:bidi w:val="0"/>
        <w:spacing w:lineRule="auto" w:line="288" w:before="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Nature of the Business</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MasTec, Inc. (collectively with its subsidiaries, “MasTec” or the “Company”) is a leading infrastructure construction company operating mainly throughout North America across a range of industries. The Company’s primary activities include the engineering, building, installation, maintenance and upgrade of communications, energy, utility and other infrastructure, such as: power delivery services, including transmission, distribution, environmental planning and compliance; wireless, wireline/fiber and customer fulfillment activities; power generation, primarily from clean energy and renewable sources; pipeline distribution infrastructure, including natural gas, carbon capture sequestration, water and pipeline integrity services; heavy civil; industrial infrastructure; and environmental remediation services. MasTec’s customers are primarily in these industries. MasTec reports its results under five reportable segments: (1) Communications; (2) Clean Energy and Infrastructure; (3) Oil and Gas; (4) Power Delivery and (5) Other.</w:t>
      </w:r>
    </w:p>
    <w:p>
      <w:pPr>
        <w:pStyle w:val="TextBody"/>
        <w:bidi w:val="0"/>
        <w:spacing w:lineRule="auto" w:line="288" w:before="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Basis of Presentation</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accompanying consolidated financial statements are unaudited and have been prepared in accordance with accounting principles generally accepted in the United States (“U.S. GAAP”) for interim financial information and with the instructions for Form 10-Q and Rule 10-01 of Regulation S-X. Pursuant to these rules and regulations, certain information and footnote disclosures normally included in the annual audited consolidated financial statements prepared in accordance with U.S. GAAP have been condensed or omitted. The accompanying consolidated balance sheet as of December 31, 2022 is derived from the Company’s audited financial statements as of that date. Because certain information and footnote disclosures have been condensed or omitted, these consolidated financial statements should be read in conjunction with the audited consolidated financial statements and notes thereto as of and for the year ended December 31, 2022 contained in the Company’s 2022 Annual Report on Form 10-K (the “2022 Form 10-K”). In management’s opinion, all normal and recurring adjustments considered necessary for a fair presentation of the financial position, results of operations and cash flows for the periods presented have been included. When appropriate, prior year amounts are reclassified to conform with the current period presentation. Interim period operating results do not necessarily indicate the results that may be expected for any other interim period or for the full fiscal year. The Company believes that the disclosures made in these consolidated financial statements are adequate to make the information not misleading.</w:t>
      </w:r>
    </w:p>
    <w:p>
      <w:pPr>
        <w:pStyle w:val="TextBody"/>
        <w:bidi w:val="0"/>
        <w:spacing w:lineRule="auto" w:line="288" w:before="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Principles of Consolidation</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accompanying consolidated financial statements include MasTec, Inc. and its subsidiaries and include the accounts of all majority owned subsidiaries over which the Company exercises control and, when applicable, entities in which the Company has a controlling financial interest. All significant intercompany balances and transactions have been eliminated in consolidation. Other parties’ interests in entities that MasTec consolidates are reported as non-controlling interests within equity, except for mandatorily redeemable non-controlling interests, which are recorded within other liabilities. Net income or loss attributable to non-controlling interests is reported as a separate line item below net income or loss. Investments in entities for which the Company does not have a controlling financial interest, but over which it has the ability to exert significant influence, are accounted for under the equity method of accounting. For equity investees in which the Company has an undivided interest in the assets, liabilities and profits or losses of an unincorporated entity, but does not exercise control over the entity, the Company consolidates its proportional interest in the accounts of the entity.</w:t>
      </w:r>
    </w:p>
    <w:p>
      <w:pPr>
        <w:pStyle w:val="TextBody"/>
        <w:bidi w:val="0"/>
        <w:spacing w:lineRule="auto" w:line="288" w:before="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Translation of Foreign Currencies</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assets and liabilities of foreign subsidiaries with a functional currency other than the U.S. dollar are translated into U.S. dollars at period-end exchange rates, with resulting translation gains or losses included within other comprehensive income or loss. Revenue and expenses are translated into U.S. dollars at average rates of exchange during the applicable period. Substantially all of the Company’s foreign operations use their local currency as their functional currency. For foreign operations for which the local currency is not the functional currency, the operation’s non-monetary assets are remeasured into U.S. dollars at historical exchange rates. All other accounts are remeasured at current exchange rates. Gains or losses from remeasurement are included in other income or expense, net. Currency gains or losses resulting from transactions executed in currencies other than the functional currency are included in other income or expense, net.</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these consolidated financial statements, “$” means U.S. dollars unless otherwise noted.</w:t>
      </w:r>
    </w:p>
    <w:p>
      <w:pPr>
        <w:pStyle w:val="TextBody"/>
        <w:bidi w:val="0"/>
        <w:spacing w:lineRule="auto" w:line="288" w:before="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Management Estimates</w:t>
      </w:r>
    </w:p>
    <w:p>
      <w:pPr>
        <w:pStyle w:val="TextBody"/>
        <w:bidi w:val="0"/>
        <w:spacing w:lineRule="auto" w:line="288" w:before="0" w:after="120"/>
        <w:jc w:val="both"/>
        <w:rPr>
          <w:color w:val="000000"/>
        </w:rPr>
      </w:pPr>
      <w:r>
        <w:rPr>
          <w:color w:val="000000"/>
        </w:rPr>
        <w:t>    </w:t>
      </w:r>
      <w:r>
        <w:rPr>
          <w:rFonts w:ascii="Times New Roman;sans-serif" w:hAnsi="Times New Roman;sans-serif"/>
          <w:b w:val="false"/>
          <w:color w:val="000000"/>
          <w:sz w:val="18"/>
        </w:rPr>
        <w:t>The preparation of consolidated financial statements in accordance with U.S. GAAP requires the use of estimates and assumptions that affect the amounts reported in the consolidated financial statements and accompanying notes. These estimates are based on historical experience and various other assumptions that management believes to be reasonable under the circumstances, including the potential future effects of macroeconomic trends and events, such as inflation and interest rate levels; uncertainty from potential market volatility; other market, industry and regulatory factors, including uncertainty related to the implementation and pace of governmental programs and initiatives and project permitting issues, and other regulatory matters or uncertainty; supply chain disruptions; climate-related matters; global events, such as military conflicts; and public health matters. These estimates form the basis for making judgments about the Company’s operating results and the carrying values of assets and liabilities that are not readily apparent from other sources. While management believes that such estimates are reasonable when considered in conjunction with the Company’s consolidated financial position and results of operations taken as a whole, actual results could differ materially from these estimates.</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Key estimates include: the recognition of revenue and project profit or loss, which the Company defines as project revenue less project costs of revenue, including project-related depreciation, in particular, on construction contracts accounted for under the cost-to-cost method,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which the recorded amounts require estimates of costs to complete and the amount and probability of variable consideration included in the contract transaction price; fair value estimates, including those related to goodwill and intangible assets, long-lived and other assets, equity investments, acquisition-related liabilities, including contingent consideration, other liabilities and debt obligations; asset lives used in computing depreciation and amortization; fair values of financial instruments; allowances for credit losses; self-insurance liabilities; certain other accruals and allowances; income taxes; and the estimated effects of litigation and other contingencies.</w:t>
      </w:r>
    </w:p>
    <w:p>
      <w:pPr>
        <w:pStyle w:val="TextBody"/>
        <w:bidi w:val="0"/>
        <w:spacing w:lineRule="auto" w:line="288" w:before="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General Economic, Market and Regulatory Conditions</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has experienced, and may continue to experience, direct and indirect negative effects on its business and operations from negative economic, market, and regulatory conditions, including the current level of market interest rates; continuing inflationary effects on the cost of fuel, labor and materials; supply chain disruptions; uncertainty related to the implementation and pace of spending under governmental programs and initiatives related to infrastructure and other industrial investment, delays and uncertainty related to project permitting and other regulatory matters or uncertainty; climate, environmental and sustainability-related matters; public health matters; changes in technology, tax and other incentives; and potential market volatility that could negatively affect demand for future projects, and/or delay existing project timing or cause increased project costs. The extent to which these conditions could affect the Company’s business, operations and financial results is uncertain as it will depend upon numerous evolving factors that management may not be able to accurately predict, and, therefore, any future impacts on the Company’s business, financial condition and/or results of operations cannot be quantified or predicted with specificity, including with respect to the effects of ongoing and recent geopolitical events, such as the political unrest and military conflicts in the Middle East and Ukraine, which could potentially increase volatility and uncertainty in the energy and capital markets.</w:t>
      </w:r>
    </w:p>
    <w:p>
      <w:pPr>
        <w:pStyle w:val="TextBody"/>
        <w:bidi w:val="0"/>
        <w:spacing w:lineRule="auto" w:line="288" w:before="0" w:after="120"/>
        <w:jc w:val="both"/>
        <w:rPr>
          <w:rFonts w:ascii="Times New Roman;sans-serif" w:hAnsi="Times New Roman;sans-serif"/>
          <w:b/>
          <w:color w:val="000000"/>
          <w:sz w:val="18"/>
        </w:rPr>
      </w:pPr>
      <w:r>
        <w:rPr>
          <w:rFonts w:ascii="Times New Roman;sans-serif" w:hAnsi="Times New Roman;sans-serif"/>
          <w:b/>
          <w:color w:val="000000"/>
          <w:sz w:val="18"/>
        </w:rPr>
        <w:t>Significant Accounting Policies</w:t>
      </w:r>
    </w:p>
    <w:p>
      <w:pPr>
        <w:pStyle w:val="TextBody"/>
        <w:bidi w:val="0"/>
        <w:spacing w:lineRule="auto" w:line="288" w:before="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Revenue Recognition</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recognizes revenue from contracts with customers when, or as, control of promised services and goods is transferred to customers. The amount of revenue recognized reflects the consideration to which the Company expects to be entitled in exchange for the services and goods transferred. The Company primarily recognizes revenue over time utilizing the cost-to-cost measure of progress, which best depicts the continuous transfer of control of goods or services to the customer, and correspondingly, when performance obligations are satisfied for the related contracts.</w:t>
      </w:r>
    </w:p>
    <w:p>
      <w:pPr>
        <w:pStyle w:val="TextBody"/>
        <w:bidi w:val="0"/>
        <w:spacing w:lineRule="auto" w:line="288" w:before="0" w:after="120"/>
        <w:ind w:left="0" w:right="0" w:firstLine="720"/>
        <w:jc w:val="both"/>
        <w:rPr/>
      </w:pPr>
      <w:r>
        <w:rPr>
          <w:rFonts w:ascii="Times New Roman;sans-serif" w:hAnsi="Times New Roman;sans-serif"/>
          <w:b/>
          <w:i/>
          <w:color w:val="000000"/>
          <w:sz w:val="18"/>
        </w:rPr>
        <w:t>Contracts.</w:t>
      </w:r>
      <w:r>
        <w:rPr>
          <w:color w:val="000000"/>
        </w:rPr>
        <w:t xml:space="preserve"> </w:t>
      </w:r>
      <w:r>
        <w:rPr>
          <w:rFonts w:ascii="Times New Roman;sans-serif" w:hAnsi="Times New Roman;sans-serif"/>
          <w:b w:val="false"/>
          <w:color w:val="000000"/>
          <w:sz w:val="18"/>
        </w:rPr>
        <w:t>The Company derives revenue primarily from construction projects performed under: (i) master service and other service agreements, which generally provide a menu of available services in a specific geographic territory that are utilized on an as-needed basis, and are typically priced using either a time and materials or a fixed price per unit basis; and (ii) contracts for specific projects requiring the construction and installation of an entire infrastructure system, or specified units within an infrastructure system, which may be subject to one or multiple pricing options, including fixed price, unit price, time and materials, or cost plus a markup. Revenue derived from projects performed under master service and other service agreements totaled 37% and 52% of consolidated revenue for the three month periods ended September 30, 2023 and 2022, respectively, and totaled 42% and 54% for the nine month periods ended September 30, 2023 and 2022, respectively.</w:t>
      </w:r>
    </w:p>
    <w:p>
      <w:pPr>
        <w:pStyle w:val="TextBody"/>
        <w:bidi w:val="0"/>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For certain master service and other service agreements, revenue is recognized at a point in time, primarily for install-to-the-home and certain other wireless services in the Company’s Communications segment, and to a lesser extent, certain revenue in the Company’s Clean Energy and Infrastructure and Oil and Gas segments. Point in time revenue is recognized when the work order has been fulfilled, which, for the majority of the Company’s point in time revenue, is the same day it is initiated. Point in time revenue accounted for approximately 2% and 3% of consolidated revenue for the three and nine month periods ended September 30, 2023, respectively, and totaled approximately 4% for both the three and nine month periods ended September 30, 2022.</w:t>
      </w:r>
    </w:p>
    <w:p>
      <w:pPr>
        <w:pStyle w:val="TextBody"/>
        <w:bidi w:val="0"/>
        <w:spacing w:before="0" w:after="0"/>
        <w:ind w:left="0" w:right="0" w:firstLine="720"/>
        <w:jc w:val="left"/>
        <w:rPr/>
      </w:pPr>
      <w:r>
        <w:rPr/>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total contract transaction price and cost estimation processes used for recognizing revenue over time under the cost-to-cost method is primarily based on the professional knowledge and experience of the Company’s project managers, operational and financial professionals, and other professional expertise, as warranted. Management reviews estimates of total contract transaction price and total project costs on an ongoing basis. Changes in job performance, job conditions and management’s assessment of the estimated amount and probability of variable consideration are factors that influence estimates of the total contract transaction price, total costs to complete those contracts and the Company’s profit recognition. Changes in these factors could result in revisions to revenue in the period in which the revisions are determined, which revisions could materially affect the Company’s consolidated results of operations for that period. Provisions for losses on uncompleted contracts are recorded in the period in which such losses are expected based on management’s estimates. For the nine month periods ended September 30, 2023 and 2022, project profit was affected by less than 5% as a result of changes in contract estimates included in projects that were in process as of December 31, 2022 and 2021. Changes in recognized revenue, net, as a result of changes in total contract transaction price estimates, including from variable consideration, and/or changes in cost estimates, related to performance obligations satisfied or partially satisfied in prior periods, for the three and nine month periods ended September 30, 2023 positively affected revenue by approximately 0.3% and 0.5%, respectively. For both the three and nine month periods ended September 30, 2022, such net changes positively affected revenue by approximately 0.2%.</w:t>
      </w:r>
    </w:p>
    <w:p>
      <w:pPr>
        <w:pStyle w:val="TextBody"/>
        <w:bidi w:val="0"/>
        <w:spacing w:lineRule="auto" w:line="288" w:before="0" w:after="120"/>
        <w:ind w:left="0" w:right="0" w:firstLine="720"/>
        <w:jc w:val="both"/>
        <w:rPr/>
      </w:pPr>
      <w:r>
        <w:rPr>
          <w:rFonts w:ascii="Times New Roman;sans-serif" w:hAnsi="Times New Roman;sans-serif"/>
          <w:b/>
          <w:i/>
          <w:color w:val="000000"/>
          <w:sz w:val="18"/>
        </w:rPr>
        <w:t>Performance Obligations.</w:t>
      </w:r>
      <w:r>
        <w:rPr>
          <w:color w:val="000000"/>
        </w:rPr>
        <w:t xml:space="preserve"> </w:t>
      </w:r>
      <w:r>
        <w:rPr>
          <w:rFonts w:ascii="Times New Roman;sans-serif" w:hAnsi="Times New Roman;sans-serif"/>
          <w:b w:val="false"/>
          <w:color w:val="000000"/>
          <w:sz w:val="18"/>
        </w:rPr>
        <w:t>A performance obligation is a contractual promise to transfer a distinct good or service to a customer. The transaction price of a contract is allocated to each distinct performance obligation and recognized as revenue when or as the performance obligation is satisfied. The Company’s contracts often require significant services to integrate complex activities and equipment into a single deliverable, and are therefore generally accounted for as a single performance obligation, even when delivering multiple distinct services. The majority of the Company’s performance obligations are completed within one year.</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Remaining performance obligations represent the amount of unearned transaction prices under contracts for which work is wholly or partially unperformed, including the Company’s share of unearned transaction prices from its proportionately consolidated non-controlled joint ventures. As of September 30, 2023, the amount of the Company’s remaining performance obligations was $7.6 billion. Based on current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expectations, the Company anticipates it will recognize approximately $2.6 billion of its remaining performance obligations as revenue during 2023, with the majority of the remaining balance expected to be recognized in 2024.</w:t>
      </w:r>
    </w:p>
    <w:p>
      <w:pPr>
        <w:pStyle w:val="TextBody"/>
        <w:bidi w:val="0"/>
        <w:spacing w:lineRule="auto" w:line="288" w:before="0" w:after="120"/>
        <w:ind w:left="0" w:right="0" w:firstLine="720"/>
        <w:jc w:val="both"/>
        <w:rPr/>
      </w:pPr>
      <w:r>
        <w:rPr>
          <w:rFonts w:ascii="Times New Roman;sans-serif" w:hAnsi="Times New Roman;sans-serif"/>
          <w:b/>
          <w:i/>
          <w:color w:val="000000"/>
          <w:sz w:val="18"/>
        </w:rPr>
        <w:t>Variable Consideration.</w:t>
      </w:r>
      <w:r>
        <w:rPr>
          <w:color w:val="000000"/>
        </w:rPr>
        <w:t xml:space="preserve"> </w:t>
      </w:r>
      <w:r>
        <w:rPr>
          <w:rFonts w:ascii="Times New Roman;sans-serif" w:hAnsi="Times New Roman;sans-serif"/>
          <w:b w:val="false"/>
          <w:color w:val="000000"/>
          <w:sz w:val="18"/>
        </w:rPr>
        <w:t>Transaction prices for the Company’s contracts may include variable consideration, which comprises items such as change orders, claims and incentives. Management estimates variable consideration for a performance obligation utilizing estimation methods that it believes best predict the amount of consideration to which the Company will be entitled. Management’s estimates of variable consideration and the determination of whether to include estimated amounts in transaction prices are based largely on specific discussions, correspondence or preliminary negotiations and past practices with the customer, engineering studies and legal advice and all other relevant information that is reasonably available at the time of the estimate. To the extent unapproved change orders, claims and other variable consideration reflected in transaction prices are not resolved in the Company’s favor, or to the extent incentives reflected in transaction prices are not earned, there could be reductions in, or reversals of, previously recognized revenue.</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of September 30, 2023 and December 31, 2022, the Company included in its contract transaction prices approximately $296 million and $271 million, respectively, of change orders and/or claims for certain contracts that were in the process of being resolved in the ordinary course of its business, including through negotiation, arbitration and other proceedings. These transaction price adjustments, when earned, are included within contract assets or accounts receivable, net of allowance, as appropriate. As of both September 30, 2023 and December 31, 2022, these change orders and/or claims primarily related to certain projects in the Company’s Clean Energy and Infrastructure and Power Delivery segments. The Company actively engages with its customers to complete the final approval process and generally expects these processes to be completed within one year. Amounts ultimately realized upon final agreement by customers could be higher or lower than such estimated amounts.</w:t>
      </w:r>
    </w:p>
    <w:p>
      <w:pPr>
        <w:pStyle w:val="TextBody"/>
        <w:bidi w:val="0"/>
        <w:spacing w:lineRule="auto" w:line="288" w:before="0" w:after="120"/>
        <w:jc w:val="both"/>
        <w:rPr>
          <w:rFonts w:ascii="Times New Roman;sans-serif" w:hAnsi="Times New Roman;sans-serif"/>
          <w:b/>
          <w:color w:val="000000"/>
          <w:sz w:val="18"/>
        </w:rPr>
      </w:pPr>
      <w:r>
        <w:rPr>
          <w:rFonts w:ascii="Times New Roman;sans-serif" w:hAnsi="Times New Roman;sans-serif"/>
          <w:b/>
          <w:color w:val="000000"/>
          <w:sz w:val="18"/>
        </w:rPr>
        <w:t>Recent Accounting Pronouncements</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discussion below describes the effects of recent accounting pronouncements, as updated from the discussion in the Company’s 2022 Form 10-K.</w:t>
      </w:r>
    </w:p>
    <w:p>
      <w:pPr>
        <w:pStyle w:val="TextBody"/>
        <w:bidi w:val="0"/>
        <w:spacing w:lineRule="auto" w:line="288" w:before="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Accounting Pronouncements Adopted in 2023</w:t>
      </w:r>
    </w:p>
    <w:p>
      <w:pPr>
        <w:pStyle w:val="TextBody"/>
        <w:bidi w:val="0"/>
        <w:spacing w:lineRule="auto" w:line="288" w:before="0" w:after="120"/>
        <w:ind w:left="0" w:right="0" w:firstLine="720"/>
        <w:jc w:val="both"/>
        <w:rPr/>
      </w:pPr>
      <w:r>
        <w:rPr>
          <w:rFonts w:ascii="Times New Roman;sans-serif" w:hAnsi="Times New Roman;sans-serif"/>
          <w:b w:val="false"/>
          <w:color w:val="000000"/>
          <w:sz w:val="18"/>
        </w:rPr>
        <w:t xml:space="preserve">The Company adopted Financial Accounting Standards Board (“FASB”) Accounting Standards Update (“ASU”) 2021-08, </w:t>
      </w:r>
      <w:r>
        <w:rPr>
          <w:rFonts w:ascii="Times New Roman;sans-serif" w:hAnsi="Times New Roman;sans-serif"/>
          <w:b w:val="false"/>
          <w:i/>
          <w:color w:val="000000"/>
          <w:sz w:val="18"/>
        </w:rPr>
        <w:t>Business Combinations (Topic 805): Accounting for Contract Assets and Contract Liabilities from Contracts with Customers</w:t>
      </w:r>
      <w:r>
        <w:rPr>
          <w:color w:val="000000"/>
        </w:rPr>
        <w:t xml:space="preserve"> </w:t>
      </w:r>
      <w:r>
        <w:rPr>
          <w:rFonts w:ascii="Times New Roman;sans-serif" w:hAnsi="Times New Roman;sans-serif"/>
          <w:b w:val="false"/>
          <w:color w:val="000000"/>
          <w:sz w:val="18"/>
        </w:rPr>
        <w:t>(“ASU 2021-08”) in the first quarter of 2023. ASU 2021-08, which was issued to improve consistency for revenue recognition in the post-acquisition period for acquired contracts as compared to contracts entered into subsequent to acquisition, requires an acquirer to recognize and measure contract assets and contract liabilities acquired in a business combination in accordance with Topic 606, Revenue from Contracts with Customers, rather than at fair value. The adoption of ASU 2021-08 did not have a material effect on the Company’s consolidated financial statements.</w:t>
      </w:r>
    </w:p>
    <w:p>
      <w:pPr>
        <w:pStyle w:val="TextBody"/>
        <w:bidi w:val="0"/>
        <w:spacing w:lineRule="auto" w:line="288" w:before="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Recently Issued Accounting Pronouncements</w:t>
      </w:r>
    </w:p>
    <w:p>
      <w:pPr>
        <w:pStyle w:val="TextBody"/>
        <w:bidi w:val="0"/>
        <w:spacing w:lineRule="auto" w:line="288" w:before="0" w:after="120"/>
        <w:ind w:left="0" w:right="0" w:firstLine="720"/>
        <w:jc w:val="both"/>
        <w:rPr/>
      </w:pPr>
      <w:r>
        <w:rPr>
          <w:rFonts w:ascii="Times New Roman;sans-serif" w:hAnsi="Times New Roman;sans-serif"/>
          <w:b w:val="false"/>
          <w:color w:val="000000"/>
          <w:sz w:val="18"/>
        </w:rPr>
        <w:t>In March 2023, the FASB issued ASU 2023-01,</w:t>
      </w:r>
      <w:r>
        <w:rPr>
          <w:color w:val="000000"/>
        </w:rPr>
        <w:t xml:space="preserve"> </w:t>
      </w:r>
      <w:r>
        <w:rPr>
          <w:rFonts w:ascii="Times New Roman;sans-serif" w:hAnsi="Times New Roman;sans-serif"/>
          <w:b w:val="false"/>
          <w:i/>
          <w:color w:val="000000"/>
          <w:sz w:val="18"/>
        </w:rPr>
        <w:t>Leases (Topic 842): Common Control Arrangements</w:t>
      </w:r>
      <w:r>
        <w:rPr>
          <w:color w:val="000000"/>
        </w:rPr>
        <w:t xml:space="preserve"> </w:t>
      </w:r>
      <w:r>
        <w:rPr>
          <w:rFonts w:ascii="Times New Roman;sans-serif" w:hAnsi="Times New Roman;sans-serif"/>
          <w:b w:val="false"/>
          <w:color w:val="000000"/>
          <w:sz w:val="18"/>
        </w:rPr>
        <w:t>(“ASU 2023-01”) to improve the guidance for applying Topic 842, Leases, to arrangements between entities under common control. ASU 2023-01 improves current GAAP by clarifying the accounting for leasehold improvements associated with common control leases, thereby reducing diversity in practice. The provisions of this ASU that apply to public companies include a requirement for entities to amortize leasehold improvements associated with common control leases over the useful life of the common control group. ASU 2023-01 is effective for fiscal years, and for interim periods within those fiscal years, beginning after December 15, 2023, with early adoption permitted. The Company does not expect ASU 2023-01 to have a material effect on the Company’s consolidated financial statements.</w:t>
      </w:r>
    </w:p>
    <w:p>
      <w:pPr>
        <w:pStyle w:val="TextBody"/>
        <w:bidi w:val="0"/>
        <w:spacing w:lineRule="auto" w:line="288" w:before="0" w:after="0"/>
        <w:ind w:left="0" w:right="0" w:firstLine="720"/>
        <w:jc w:val="both"/>
        <w:rPr/>
      </w:pPr>
      <w:r>
        <w:rPr>
          <w:rFonts w:ascii="Times New Roman;sans-serif" w:hAnsi="Times New Roman;sans-serif"/>
          <w:b w:val="false"/>
          <w:color w:val="000000"/>
          <w:sz w:val="18"/>
        </w:rPr>
        <w:t xml:space="preserve">In August 2023, the FASB issued ASU 2023-05, </w:t>
      </w:r>
      <w:r>
        <w:rPr>
          <w:rFonts w:ascii="Times New Roman;sans-serif" w:hAnsi="Times New Roman;sans-serif"/>
          <w:b w:val="false"/>
          <w:i/>
          <w:color w:val="000000"/>
          <w:sz w:val="18"/>
        </w:rPr>
        <w:t>Business Combinations—Joint Venture Formations (Subtopic 805-60): Recognition and Initial Measurement</w:t>
      </w:r>
      <w:r>
        <w:rPr>
          <w:color w:val="000000"/>
        </w:rPr>
        <w:t xml:space="preserve"> </w:t>
      </w:r>
      <w:r>
        <w:rPr>
          <w:rFonts w:ascii="Times New Roman;sans-serif" w:hAnsi="Times New Roman;sans-serif"/>
          <w:b w:val="false"/>
          <w:color w:val="000000"/>
          <w:sz w:val="18"/>
        </w:rPr>
        <w:t>(“ASU 2023-05”). ASU 2023-05, which clarifies existing guidance to reduce diversity in practice, addresses the accounting for contributions made to a joint venture, upon formation, in a joint venture’s separate financial statements. The provisions of this ASU require that a joint venture initially measure all contributions received upon its formation at fair value, largely consistent with Topic 805, Business Combinations. The amendments in this ASU are not applicable to the formation of proportionally consolidated joint ventures. ASU 2023-05 is effective prospectively for all joint ventures with a formation date on or after January 1, 2025, with early adoption permitted on a retrospective basis for joint ventures formed before January 1, 2025. The Company is currently evaluating the effects of this ASU.</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2 – Earnings Per Share</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Basic earnings or loss per share is computed by dividing net income or loss attributable to MasTec by the weighted average number of common shares outstanding for the period, which excludes non-participating unvested restricted share awards. Diluted earnings per share is computed by dividing net income attributable to MasTec by the weighted average number of fully diluted shares, as calculated primarily under the treasury stock method, which includes the potential effect of dilutive common stock equivalents, such as issued but unvested restricted shares. If the Company reports a loss, rather than income, the computation of diluted loss per share excludes the effect of dilutive common stock equivalents, if their effect would be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6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provides details underlying the Company’s earnings per share calculations for the periods indicated (in thousands):</w:t>
      </w:r>
    </w:p>
    <w:tbl>
      <w:tblPr>
        <w:tblW w:w="10205" w:type="dxa"/>
        <w:jc w:val="left"/>
        <w:tblInd w:w="0" w:type="dxa"/>
        <w:tblLayout w:type="fixed"/>
        <w:tblCellMar>
          <w:top w:w="28" w:type="dxa"/>
          <w:left w:w="28" w:type="dxa"/>
          <w:bottom w:w="28" w:type="dxa"/>
          <w:right w:w="28" w:type="dxa"/>
        </w:tblCellMar>
      </w:tblPr>
      <w:tblGrid>
        <w:gridCol w:w="1178"/>
        <w:gridCol w:w="1005"/>
        <w:gridCol w:w="1010"/>
        <w:gridCol w:w="295"/>
        <w:gridCol w:w="973"/>
        <w:gridCol w:w="164"/>
        <w:gridCol w:w="164"/>
        <w:gridCol w:w="164"/>
        <w:gridCol w:w="164"/>
        <w:gridCol w:w="295"/>
        <w:gridCol w:w="973"/>
        <w:gridCol w:w="164"/>
        <w:gridCol w:w="109"/>
        <w:gridCol w:w="109"/>
        <w:gridCol w:w="109"/>
        <w:gridCol w:w="277"/>
        <w:gridCol w:w="1016"/>
        <w:gridCol w:w="154"/>
        <w:gridCol w:w="154"/>
        <w:gridCol w:w="154"/>
        <w:gridCol w:w="154"/>
        <w:gridCol w:w="277"/>
        <w:gridCol w:w="917"/>
        <w:gridCol w:w="226"/>
      </w:tblGrid>
      <w:tr>
        <w:trPr/>
        <w:tc>
          <w:tcPr>
            <w:tcW w:w="1178"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Nine Months Ended September 30, </w:t>
            </w:r>
          </w:p>
        </w:tc>
      </w:tr>
      <w:tr>
        <w:trPr/>
        <w:tc>
          <w:tcPr>
            <w:tcW w:w="3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MasTec:</w:t>
            </w:r>
          </w:p>
        </w:tc>
        <w:tc>
          <w:tcPr>
            <w:tcW w:w="1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Net income (loss) - basic </w:t>
            </w:r>
            <w:r>
              <w:rPr>
                <w:rFonts w:ascii="Times New Roman;sans-serif" w:hAnsi="Times New Roman;sans-serif"/>
                <w:b w:val="false"/>
                <w:color w:val="000000"/>
                <w:sz w:val="12"/>
              </w:rPr>
              <w:t>(a)</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48,896 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30,130 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Fair value gain related to contingent payments </w:t>
            </w:r>
            <w:r>
              <w:rPr>
                <w:rFonts w:ascii="Times New Roman;sans-serif" w:hAnsi="Times New Roman;sans-serif"/>
                <w:b w:val="false"/>
                <w:color w:val="000000"/>
                <w:sz w:val="12"/>
              </w:rPr>
              <w:t>(b)</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Net income (loss) - diluted </w:t>
            </w:r>
            <w:r>
              <w:rPr>
                <w:rFonts w:ascii="Times New Roman;sans-serif" w:hAnsi="Times New Roman;sans-serif"/>
                <w:b w:val="false"/>
                <w:color w:val="000000"/>
                <w:sz w:val="12"/>
              </w:rPr>
              <w:t>(a)</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48,753 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28,671 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w:t>
            </w:r>
          </w:p>
        </w:tc>
        <w:tc>
          <w:tcPr>
            <w:tcW w:w="1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Weighted average shares outstanding - basic</w:t>
            </w:r>
            <w:r>
              <w:rPr>
                <w:rFonts w:ascii="Times New Roman;sans-serif" w:hAnsi="Times New Roman;sans-serif"/>
                <w:b w:val="false"/>
                <w:color w:val="000000"/>
                <w:sz w:val="12"/>
              </w:rPr>
              <w:t>(c)</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77,640 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73,936 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74,386 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Dilutive common stock equivalents </w:t>
            </w:r>
            <w:r>
              <w:rPr>
                <w:rFonts w:ascii="Times New Roman;sans-serif" w:hAnsi="Times New Roman;sans-serif"/>
                <w:b w:val="false"/>
                <w:color w:val="000000"/>
                <w:sz w:val="12"/>
              </w:rPr>
              <w:t>(d)(e)</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 diluted</w:t>
            </w:r>
          </w:p>
        </w:tc>
        <w:tc>
          <w:tcPr>
            <w:tcW w:w="126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78,455 </w:t>
            </w:r>
          </w:p>
        </w:tc>
        <w:tc>
          <w:tcPr>
            <w:tcW w:w="1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75,073 </w:t>
            </w:r>
          </w:p>
        </w:tc>
        <w:tc>
          <w:tcPr>
            <w:tcW w:w="1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77,418 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75,576 </w:t>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(a)Basic net income or loss is calculated as total net income or loss, less amounts attributable to non-controlling interests. Diluted net income or loss is calculated as total net income or loss, less amounts attributable to non-controlling interests, adjusted for the fair value gain or loss, if any, related to additional contingent payments to the former owners of an acquired business for which the contingency has been resolved as of the respective period. See Note 3 - Acquisitions, Goodwill and Other Intangible Assets, Net, for additional information.</w:t>
      </w:r>
    </w:p>
    <w:p>
      <w:pPr>
        <w:pStyle w:val="TextBody"/>
        <w:bidi w:val="0"/>
        <w:spacing w:lineRule="auto" w:line="288" w:before="4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(b)For the three and nine month periods ended September 30, 2022, represents the fair value gain related to additional contingent payments, which were dilutive as of September 30, 2022. See Note 3 - Acquisitions, Goodwill and Other Intangible Assets, Net, for additional information.</w:t>
      </w:r>
    </w:p>
    <w:p>
      <w:pPr>
        <w:pStyle w:val="TextBody"/>
        <w:bidi w:val="0"/>
        <w:spacing w:lineRule="auto" w:line="288" w:before="4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(c)For the three month periods ended September 30, 2023 and 2022, basic shares include approximately 88,000 and 140,000 weighted average shares, respectively, related to additional contingent payments, and for the nine month periods ended September 30, 2023 and 2022, basic shares include approximately 88,000 and 114,000 of such weighted average shares, respectively.</w:t>
      </w:r>
    </w:p>
    <w:p>
      <w:pPr>
        <w:pStyle w:val="TextBody"/>
        <w:bidi w:val="0"/>
        <w:spacing w:lineRule="auto" w:line="288" w:before="4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(d)For the three month period ended September 30, 2023, there were no weighted average anti-dilutive common stock equivalents, and for the three month period ended September 30, 2022, weighted average anti-dilutive common stock equivalents totaled approximately 8,000 shares. For the nine month periods ended September 30, 2023 and 2022, such shares totaled approximately 1,091,000 and 135,000, respectively.</w:t>
      </w:r>
    </w:p>
    <w:p>
      <w:pPr>
        <w:pStyle w:val="TextBody"/>
        <w:bidi w:val="0"/>
        <w:spacing w:lineRule="auto" w:line="288" w:before="4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(e)For the three and nine month periods ended September 30, 2023, there were no weighted average common stock equivalents related to additional contingent payments to the former owners of an acquired business, and for the three and nine month periods ended September 30, 2022, weighted average common stock equivalents related to such additional contingent payments totaled approximately 11,000 and 37,000, respectively.</w:t>
      </w:r>
    </w:p>
    <w:p>
      <w:pPr>
        <w:pStyle w:val="TextBody"/>
        <w:bidi w:val="0"/>
        <w:spacing w:lineRule="auto" w:line="288" w:before="180" w:after="120"/>
        <w:ind w:left="0" w:right="0" w:firstLine="720"/>
        <w:jc w:val="both"/>
        <w:rPr/>
      </w:pPr>
      <w:r>
        <w:rPr>
          <w:rFonts w:ascii="Times New Roman;sans-serif" w:hAnsi="Times New Roman;sans-serif"/>
          <w:b/>
          <w:i/>
          <w:color w:val="000000"/>
          <w:sz w:val="18"/>
        </w:rPr>
        <w:t>Share repurchases</w:t>
      </w:r>
      <w:r>
        <w:rPr>
          <w:rFonts w:ascii="Times New Roman;sans-serif" w:hAnsi="Times New Roman;sans-serif"/>
          <w:b w:val="false"/>
          <w:color w:val="000000"/>
          <w:sz w:val="18"/>
        </w:rPr>
        <w:t>. For the nine month period ended September 30, 2022, the Company repurchased approximately 1,124,000 shares of its common stock, the effect of which on the Company’s weighted average shares outstanding for the related period was a reduction of approximately 598,000 shares. See Note 11 - Equity for details of the Company’s share repurchase transactions.</w:t>
      </w:r>
    </w:p>
    <w:p>
      <w:pPr>
        <w:pStyle w:val="TextBody"/>
        <w:bidi w:val="0"/>
        <w:spacing w:lineRule="auto" w:line="288" w:before="180" w:after="120"/>
        <w:ind w:left="0" w:right="0" w:firstLine="720"/>
        <w:jc w:val="both"/>
        <w:rPr/>
      </w:pPr>
      <w:r>
        <w:rPr>
          <w:rFonts w:ascii="Times New Roman;sans-serif" w:hAnsi="Times New Roman;sans-serif"/>
          <w:b/>
          <w:i/>
          <w:color w:val="000000"/>
          <w:sz w:val="18"/>
        </w:rPr>
        <w:t>Shares issued for acquisitions</w:t>
      </w:r>
      <w:r>
        <w:rPr>
          <w:rFonts w:ascii="Times New Roman;sans-serif" w:hAnsi="Times New Roman;sans-serif"/>
          <w:b w:val="false"/>
          <w:color w:val="000000"/>
          <w:sz w:val="18"/>
        </w:rPr>
        <w:t>. In the fourth quarter of 2022, the Company iss</w:t>
      </w:r>
      <w:r>
        <w:rPr>
          <w:rFonts w:ascii="Times New Roman;sans-serif" w:hAnsi="Times New Roman;sans-serif"/>
          <w:b w:val="false"/>
          <w:color w:val="000000"/>
          <w:sz w:val="18"/>
          <w:shd w:fill="FFFFFF" w:val="clear"/>
        </w:rPr>
        <w:t xml:space="preserve">ued approximately </w:t>
      </w:r>
      <w:r>
        <w:rPr>
          <w:rFonts w:ascii="Times New Roman;sans-serif" w:hAnsi="Times New Roman;sans-serif"/>
          <w:b w:val="false"/>
          <w:color w:val="000000"/>
          <w:sz w:val="18"/>
        </w:rPr>
        <w:t>2,758,000</w:t>
      </w:r>
      <w:r>
        <w:rPr>
          <w:color w:val="000000"/>
          <w:shd w:fill="FFFFFF" w:val="clear"/>
        </w:rPr>
        <w:t xml:space="preserve"> </w:t>
      </w:r>
      <w:r>
        <w:rPr>
          <w:rFonts w:ascii="Times New Roman;sans-serif" w:hAnsi="Times New Roman;sans-serif"/>
          <w:b w:val="false"/>
          <w:color w:val="000000"/>
          <w:sz w:val="18"/>
          <w:shd w:fill="FFFFFF" w:val="clear"/>
        </w:rPr>
        <w:t>sha</w:t>
      </w:r>
      <w:r>
        <w:rPr>
          <w:rFonts w:ascii="Times New Roman;sans-serif" w:hAnsi="Times New Roman;sans-serif"/>
          <w:b w:val="false"/>
          <w:color w:val="000000"/>
          <w:sz w:val="18"/>
        </w:rPr>
        <w:t>res of its common stock in conjunction with the October 2022 acquisition of Infrastructure and Energy Alternatives, Inc. (“IEA”). In the second quarter of 2022, the Company issued 133,000 shares in connection with the December 2021 acquisition of Henkels &amp; McCoy Holdings, Inc., formerly known as Henkels &amp; McCoy Group, Inc. (“HMG”). See Note 3 - Acquisitions, Goodwill and Other Intangible Assets, Net,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3 – Acquisitions, Goodwill and Other Intangible Assets, Net</w:t>
      </w:r>
    </w:p>
    <w:p>
      <w:pPr>
        <w:pStyle w:val="TextBody"/>
        <w:bidi w:val="0"/>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provides a reconciliation of changes in goodwill by reportable segment for the nine month period ended September 30, 2023 (in millions):</w:t>
      </w:r>
    </w:p>
    <w:tbl>
      <w:tblPr>
        <w:tblW w:w="10205" w:type="dxa"/>
        <w:jc w:val="left"/>
        <w:tblInd w:w="0" w:type="dxa"/>
        <w:tblLayout w:type="fixed"/>
        <w:tblCellMar>
          <w:top w:w="28" w:type="dxa"/>
          <w:left w:w="28" w:type="dxa"/>
          <w:bottom w:w="28" w:type="dxa"/>
          <w:right w:w="28" w:type="dxa"/>
        </w:tblCellMar>
      </w:tblPr>
      <w:tblGrid>
        <w:gridCol w:w="843"/>
        <w:gridCol w:w="731"/>
        <w:gridCol w:w="732"/>
        <w:gridCol w:w="300"/>
        <w:gridCol w:w="853"/>
        <w:gridCol w:w="168"/>
        <w:gridCol w:w="109"/>
        <w:gridCol w:w="109"/>
        <w:gridCol w:w="109"/>
        <w:gridCol w:w="431"/>
        <w:gridCol w:w="1226"/>
        <w:gridCol w:w="242"/>
        <w:gridCol w:w="109"/>
        <w:gridCol w:w="109"/>
        <w:gridCol w:w="109"/>
        <w:gridCol w:w="210"/>
        <w:gridCol w:w="597"/>
        <w:gridCol w:w="116"/>
        <w:gridCol w:w="109"/>
        <w:gridCol w:w="109"/>
        <w:gridCol w:w="109"/>
        <w:gridCol w:w="243"/>
        <w:gridCol w:w="690"/>
        <w:gridCol w:w="134"/>
        <w:gridCol w:w="109"/>
        <w:gridCol w:w="109"/>
        <w:gridCol w:w="109"/>
        <w:gridCol w:w="218"/>
        <w:gridCol w:w="771"/>
        <w:gridCol w:w="121"/>
        <w:gridCol w:w="109"/>
        <w:gridCol w:w="162"/>
      </w:tblGrid>
      <w:tr>
        <w:trPr/>
        <w:tc>
          <w:tcPr>
            <w:tcW w:w="84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Communications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Clean Energy and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Oil and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Power Delivery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 Goodwill</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Goodwill, gross, as of December 31, 2022</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703.3 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2,161.7 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Accumulated impairment loss </w:t>
            </w:r>
            <w:r>
              <w:rPr>
                <w:rFonts w:ascii="Times New Roman;sans-serif" w:hAnsi="Times New Roman;sans-serif"/>
                <w:b w:val="false"/>
                <w:color w:val="000000"/>
                <w:sz w:val="12"/>
              </w:rPr>
              <w:t>(a)</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Goodwill, net, as of December 31, 2022</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703.3 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2,045.0 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from new business combinations</w:t>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Measurement period adjustments </w:t>
            </w:r>
            <w:r>
              <w:rPr>
                <w:rFonts w:ascii="Times New Roman;sans-serif" w:hAnsi="Times New Roman;sans-serif"/>
                <w:b w:val="false"/>
                <w:color w:val="000000"/>
                <w:sz w:val="12"/>
              </w:rPr>
              <w:t>(b)</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Currency translation adjustments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Goodwill, net as of September 30, 2023</w:t>
            </w:r>
          </w:p>
        </w:tc>
        <w:tc>
          <w:tcPr>
            <w:tcW w:w="3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638.1 </w:t>
            </w:r>
          </w:p>
        </w:tc>
        <w:tc>
          <w:tcPr>
            <w:tcW w:w="1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743.8 </w:t>
            </w:r>
          </w:p>
        </w:tc>
        <w:tc>
          <w:tcPr>
            <w:tcW w:w="2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466.3 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270.7 </w:t>
            </w:r>
          </w:p>
        </w:tc>
        <w:tc>
          <w:tcPr>
            <w:tcW w:w="1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2,118.9 </w:t>
            </w:r>
          </w:p>
        </w:tc>
        <w:tc>
          <w:tcPr>
            <w:tcW w:w="1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    Accumulated impairment losses include the effects of currency translation gains and/or losses.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(b)    Measurement period adjustments represent adjustments, net, to preliminary estimates of fair value within the measurement period of up to one year from the date of acquisition. Measurement period adjustments, net, for the nine month period ended September 30, 2023 were primarily the result of updated valuations and estimated useful lives of certain fixed assets and updated estimates of certain assets and liabilities, including contract assets and contingent liabilities. As a result of the updates to the estimated useful lives of certain fixed assets, depreciation expense decreased by approximately $6 million for the nine month period ended September 30, 2023, and as a result of the measurement period adjustments related to certain contract assets and liabilities, revenue increased by approximately $35 million and costs of revenue, excluding depreciation and amortization, decreased by approximately $8 million. In addition, measurement period adjustments for the nine month period ended September 30, 2023 included a decrease in deferred tax liabilities of approximately $38 million, an increase in contingent liabilities of approximately $29 million, including for insurance, legal and other matters, and fair value increases of approximately $7 million for certain property and equipment.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80" w:after="6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provides a reconciliation of changes in other intangible assets, net, for the period indicated (in millions):</w:t>
      </w:r>
    </w:p>
    <w:tbl>
      <w:tblPr>
        <w:tblW w:w="10205" w:type="dxa"/>
        <w:jc w:val="left"/>
        <w:tblInd w:w="0" w:type="dxa"/>
        <w:tblLayout w:type="fixed"/>
        <w:tblCellMar>
          <w:top w:w="28" w:type="dxa"/>
          <w:left w:w="28" w:type="dxa"/>
          <w:bottom w:w="28" w:type="dxa"/>
          <w:right w:w="28" w:type="dxa"/>
        </w:tblCellMar>
      </w:tblPr>
      <w:tblGrid>
        <w:gridCol w:w="1338"/>
        <w:gridCol w:w="1175"/>
        <w:gridCol w:w="1179"/>
        <w:gridCol w:w="497"/>
        <w:gridCol w:w="1759"/>
        <w:gridCol w:w="280"/>
        <w:gridCol w:w="109"/>
        <w:gridCol w:w="109"/>
        <w:gridCol w:w="109"/>
        <w:gridCol w:w="268"/>
        <w:gridCol w:w="762"/>
        <w:gridCol w:w="148"/>
        <w:gridCol w:w="109"/>
        <w:gridCol w:w="109"/>
        <w:gridCol w:w="109"/>
        <w:gridCol w:w="196"/>
        <w:gridCol w:w="466"/>
        <w:gridCol w:w="109"/>
        <w:gridCol w:w="109"/>
        <w:gridCol w:w="109"/>
        <w:gridCol w:w="109"/>
        <w:gridCol w:w="196"/>
        <w:gridCol w:w="691"/>
        <w:gridCol w:w="160"/>
      </w:tblGrid>
      <w:tr>
        <w:trPr/>
        <w:tc>
          <w:tcPr>
            <w:tcW w:w="133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Other Intangible Assets, Net</w:t>
            </w:r>
          </w:p>
        </w:tc>
      </w:tr>
      <w:tr>
        <w:trPr/>
        <w:tc>
          <w:tcPr>
            <w:tcW w:w="3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Customer Relationships and Backlog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 xml:space="preserve">Trade Names </w:t>
            </w:r>
            <w:r>
              <w:rPr>
                <w:rFonts w:ascii="Times New Roman;sans-serif" w:hAnsi="Times New Roman;sans-serif"/>
                <w:b/>
                <w:color w:val="000000"/>
                <w:sz w:val="11"/>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 xml:space="preserve">Other </w:t>
            </w:r>
            <w:r>
              <w:rPr>
                <w:rFonts w:ascii="Times New Roman;sans-serif" w:hAnsi="Times New Roman;sans-serif"/>
                <w:b/>
                <w:color w:val="000000"/>
                <w:sz w:val="11"/>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r>
      <w:tr>
        <w:trPr/>
        <w:tc>
          <w:tcPr>
            <w:tcW w:w="3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 assets, gross, as of December 31, 2022</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1,089.4 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228.9 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1,404.9 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amortization</w:t>
            </w:r>
          </w:p>
        </w:tc>
        <w:tc>
          <w:tcPr>
            <w:tcW w:w="2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(388.8)</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(458.6)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 assets, net, as of December 31, 2022</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700.6 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200.0 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946.3 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from new business combinations</w:t>
            </w:r>
          </w:p>
        </w:tc>
        <w:tc>
          <w:tcPr>
            <w:tcW w:w="22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2" w:type="dxa"/>
            <w:gridSpan w:val="3"/>
            <w:tcBorders/>
            <w:vAlign w:val="center"/>
          </w:tcPr>
          <w:p>
            <w:pPr>
              <w:pStyle w:val="TableContents"/>
              <w:bidi w:val="0"/>
              <w:spacing w:before="0" w:after="283"/>
              <w:jc w:val="left"/>
              <w:rPr>
                <w:sz w:val="4"/>
                <w:szCs w:val="4"/>
              </w:rPr>
            </w:pPr>
            <w:r>
              <w:rPr>
                <w:sz w:val="4"/>
                <w:szCs w:val="4"/>
              </w:rPr>
            </w:r>
          </w:p>
        </w:tc>
        <w:tc>
          <w:tcPr>
            <w:tcW w:w="2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3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Currency translation adjustments</w:t>
            </w:r>
          </w:p>
        </w:tc>
        <w:tc>
          <w:tcPr>
            <w:tcW w:w="2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expense</w:t>
            </w:r>
          </w:p>
        </w:tc>
        <w:tc>
          <w:tcPr>
            <w:tcW w:w="2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(104.5)</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(126.3)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 assets, net, as of September 30, 2023</w:t>
            </w:r>
          </w:p>
        </w:tc>
        <w:tc>
          <w:tcPr>
            <w:tcW w:w="4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7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597.3 </w:t>
            </w:r>
          </w:p>
        </w:tc>
        <w:tc>
          <w:tcPr>
            <w:tcW w:w="2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184.5 </w:t>
            </w:r>
          </w:p>
        </w:tc>
        <w:tc>
          <w:tcPr>
            <w:tcW w:w="1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821.3 </w:t>
            </w:r>
          </w:p>
        </w:tc>
        <w:tc>
          <w:tcPr>
            <w:tcW w:w="1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
        <w:ind w:left="0" w:right="0" w:hanging="360"/>
        <w:jc w:val="both"/>
        <w:rPr/>
      </w:pPr>
      <w:r>
        <w:rPr>
          <w:rFonts w:ascii="Times New Roman;sans-serif" w:hAnsi="Times New Roman;sans-serif"/>
          <w:b w:val="false"/>
          <w:color w:val="000000"/>
          <w:sz w:val="16"/>
        </w:rPr>
        <w:t xml:space="preserve">(a)Includes approximately </w:t>
      </w:r>
      <w:r>
        <w:rPr>
          <w:rFonts w:ascii="Times New Roman;sans-serif" w:hAnsi="Times New Roman;sans-serif"/>
          <w:b w:val="false"/>
          <w:color w:val="000000"/>
          <w:sz w:val="16"/>
          <w:shd w:fill="FFFFFF" w:val="clear"/>
        </w:rPr>
        <w:t>$34.5 million</w:t>
      </w:r>
      <w:r>
        <w:rPr>
          <w:color w:val="000000"/>
        </w:rPr>
        <w:t xml:space="preserve"> </w:t>
      </w:r>
      <w:r>
        <w:rPr>
          <w:rFonts w:ascii="Times New Roman;sans-serif" w:hAnsi="Times New Roman;sans-serif"/>
          <w:b w:val="false"/>
          <w:color w:val="000000"/>
          <w:sz w:val="16"/>
        </w:rPr>
        <w:t>of non-amortizing trade names as of both September 30, 2023 and December 31, 2022.</w:t>
      </w:r>
    </w:p>
    <w:p>
      <w:pPr>
        <w:pStyle w:val="TextBody"/>
        <w:bidi w:val="0"/>
        <w:spacing w:lineRule="auto" w:line="288" w:before="0" w:after="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(b)Consists principally of pre-qualifications and non-compete agreements.</w:t>
      </w:r>
    </w:p>
    <w:p>
      <w:pPr>
        <w:pStyle w:val="TextBody"/>
        <w:bidi w:val="0"/>
        <w:spacing w:lineRule="auto" w:line="288" w:before="120" w:after="120"/>
        <w:ind w:left="0" w:right="0" w:firstLine="720"/>
        <w:jc w:val="both"/>
        <w:rPr/>
      </w:pPr>
      <w:r>
        <w:rPr>
          <w:rFonts w:ascii="Times New Roman;sans-serif" w:hAnsi="Times New Roman;sans-serif"/>
          <w:b/>
          <w:i/>
          <w:color w:val="000000"/>
          <w:sz w:val="18"/>
        </w:rPr>
        <w:t>Quarterly Assessment for Indicators of Impairment</w:t>
      </w:r>
      <w:r>
        <w:rPr>
          <w:rFonts w:ascii="Times New Roman;sans-serif" w:hAnsi="Times New Roman;sans-serif"/>
          <w:b w:val="false"/>
          <w:color w:val="000000"/>
          <w:sz w:val="18"/>
        </w:rPr>
        <w:t>. During the third quarter of 2023, the Company performed a quarterly review for indicators of impairment, which considered its results for the nine</w:t>
      </w:r>
      <w:r>
        <w:rPr>
          <w:color w:val="000000"/>
        </w:rPr>
        <w:t xml:space="preserve"> </w:t>
      </w:r>
      <w:r>
        <w:rPr>
          <w:rFonts w:ascii="Times New Roman;sans-serif" w:hAnsi="Times New Roman;sans-serif"/>
          <w:b w:val="false"/>
          <w:color w:val="000000"/>
          <w:sz w:val="18"/>
        </w:rPr>
        <w:t>month period ended September 30, 2023, together with its expectations of future results, including consideration of the potential effects of shifts in timing for projects, regulatory uncertainty and other matters, and macroeconomic factors, including interest rate levels. In conjunction with this quarterly review, management performed a quantitative assessment of the goodwill associated with two reporting units within the Clean Energy and Infrastructure segment.</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For the selected reporting units, management estimated their fair values using a combination of market and income approaches using Level 3 inputs. Under the market approach, fair values were estimated using published market multiples for comparable companies and applying them to revenue and EBITDA. Under the income approach, a discounted cash flow methodology was used, considering: (i) management estimates, such as projections of revenue, operating costs and cash flows, taking into consideration historical and anticipated financial results; (ii) general economic, market and regulatory conditions; and (iii) the impact of planned business and operational strategies. Management believes the assumptions used in its quantitative goodwill impairment tests are reflective of the risks inherent in the business models of the applicable reporting units and within the units’ industry. Estimated discount rates were determined using the weighted average cost of capital for each reporting unit at the time of the analysis, taking into consideration the risks inherent within each reporting unit individually.</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Based on the results of these assessments, management determined that, as of September 30, 2023, the estimated fair value of one of these reporting units substantially exceeded its carrying value. The estimated fair value of the second reporting unit, consisting of the IEA component (the “IEA reporting unit”), which had approximately $571 million of goodwill, exceeded its carrying value by approximately 7% as of September 30, 2023. Significant assumptions used in testing this reporting unit included terminal values based on a terminal growth rate of 3%, six years of discounted cash flows prior to the terminal value, and a discount rate of 12%.  Significant changes in the assumptions or estimates used in management’s assessment as of September 30, 2023, such as a reduction in profitability and/or cash flows, changes in market, regulatory or other conditions, including decreases in project activity levels and/or the effects of elevated levels of inflation, market interest rates or other market disruptions, including from geopolitical events, could result in non-cash impairment charges to goodwill and indefinite-lived intangible assets in the future.</w:t>
      </w:r>
    </w:p>
    <w:p>
      <w:pPr>
        <w:pStyle w:val="TextBody"/>
        <w:bidi w:val="0"/>
        <w:spacing w:lineRule="auto" w:line="288" w:before="12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Recent Acquisitions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seeks to grow and diversify its business both organically and through acquisitions and/or strategic arrangements in order to deepen its market presence and customer base, broaden its geographic reach and expand its service offerings. In 2021, the Company initiated a significant transformation of its end-market business operations to focus on the nation’s transition to low-carbon energy sources and position the Company for expected future opportunities. This transformation has included significant business combination activity, including expansion of the Company’s scale and capacity in renewable energy, power delivery, heavy civil and telecommunications services, which activity has resulted in significant acquisition and integration costs, both in the Company’s existing and recently acquired operations. Acquisitions are funded with cash on hand, borrowings under the Company’s senior unsecured credit facility and other debt financing and, for certain recent acquisitions, with shares of the Company’s common stock, and are generally subject to customary purchase price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ind w:left="0" w:right="0" w:firstLine="720"/>
        <w:jc w:val="both"/>
        <w:rPr/>
      </w:pPr>
      <w:r>
        <w:rPr>
          <w:rFonts w:ascii="Times New Roman;sans-serif" w:hAnsi="Times New Roman;sans-serif"/>
          <w:b/>
          <w:i/>
          <w:color w:val="000000"/>
          <w:sz w:val="18"/>
        </w:rPr>
        <w:t>2023 Acquisitions.</w:t>
      </w:r>
      <w:r>
        <w:rPr>
          <w:color w:val="000000"/>
        </w:rPr>
        <w:t xml:space="preserve"> </w:t>
      </w:r>
      <w:r>
        <w:rPr>
          <w:rFonts w:ascii="Times New Roman;sans-serif" w:hAnsi="Times New Roman;sans-serif"/>
          <w:b w:val="false"/>
          <w:color w:val="000000"/>
          <w:sz w:val="18"/>
        </w:rPr>
        <w:t>For the nine month period ended September 30, 2023, MasTec acquired certain of the assets of a telecommunications company specializing in wireless services that is included within the Company’s Communications segment, which acquisition was effective in January; and, effective in July, MasTec acquired all of the equity interests of a telecommunications construction company specializing in broadband and fiber-to-the-home initiatives in the New England area, which is included within the Company’s Communications segment. Determination of the estimated fair values of the net assets acquired and consideration transferred for these acquisitions, which have been accounted for as business combinations under ASC 805, “</w:t>
      </w:r>
      <w:r>
        <w:rPr>
          <w:rFonts w:ascii="Times New Roman;sans-serif" w:hAnsi="Times New Roman;sans-serif"/>
          <w:b w:val="false"/>
          <w:i/>
          <w:color w:val="000000"/>
          <w:sz w:val="18"/>
        </w:rPr>
        <w:t>Business Combinations</w:t>
      </w:r>
      <w:r>
        <w:rPr>
          <w:color w:val="000000"/>
        </w:rPr>
        <w:t xml:space="preserve">” </w:t>
      </w:r>
      <w:r>
        <w:rPr>
          <w:rFonts w:ascii="Times New Roman;sans-serif" w:hAnsi="Times New Roman;sans-serif"/>
          <w:b w:val="false"/>
          <w:color w:val="000000"/>
          <w:sz w:val="18"/>
        </w:rPr>
        <w:t>(“ASC 805”), was preliminary as of September 30, 2023; as a result, further adjustments to these estimates may occur. Additionally, MasTec acquired 68% and 42% of the equity interests of two equipment companies, both of which are accounted for as asset acquisitions under ASC 805, and were effective in May and included within the Company’s Oil and Gas segment. Based on an evaluation of the respective entities’ operating agreements, under which the Company has voting control with respect to the entities’ operating management, the Company determined that it has control over these entities, and, therefore, has consolidated these entities within the Company’s results of operations, with the other parties’ interests accounted for as non-controlling interests. The aggregate purchase price of the Company’s 2023 acquisitions was composed of approximately $69 million in cash, net of cash acquired, and an earn-out liability valued at approximately $1 million. As of September 30, 2023, the range of remaining potential undiscounted earn-out liabilities for the 2023 acquisitions was estimated to be up to $3 million; however, there is no maximum payment amount. See Note 4 - Fair Value of Financial Instruments for details pertaining to fair value estimates for the Company’s earn-out arrangements.</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goodwill balances for the respective acquisitions represent the estimated values of the acquired companies’ geographic presence in key markets, assembled workforce, synergies expected to be achieved from the combined operations of each of the acquired companies and MasTec. Approximately $1 million of the goodwill balance related to the 2023 acquisitions is expected to be tax deductible as of September 30, 2023.</w:t>
      </w:r>
    </w:p>
    <w:p>
      <w:pPr>
        <w:pStyle w:val="TextBody"/>
        <w:bidi w:val="0"/>
        <w:spacing w:lineRule="auto" w:line="288" w:before="120" w:after="120"/>
        <w:ind w:left="0" w:right="0" w:firstLine="720"/>
        <w:jc w:val="both"/>
        <w:rPr/>
      </w:pPr>
      <w:r>
        <w:rPr>
          <w:rFonts w:ascii="Times New Roman;sans-serif" w:hAnsi="Times New Roman;sans-serif"/>
          <w:b/>
          <w:i/>
          <w:color w:val="000000"/>
          <w:sz w:val="18"/>
        </w:rPr>
        <w:t xml:space="preserve">2022 Acquisitions. </w:t>
      </w:r>
      <w:r>
        <w:rPr>
          <w:rFonts w:ascii="Times New Roman;sans-serif" w:hAnsi="Times New Roman;sans-serif"/>
          <w:b w:val="false"/>
          <w:color w:val="000000"/>
          <w:sz w:val="18"/>
        </w:rPr>
        <w:t>During 2022, MasTec completed five acquisitions, which included all of the equity interests of the following: (i) within the Company’s Clean Energy and Infrastructure segment: IEA, a leading utility-scale infrastructure solutions provider in North America, with expertise in renewable energy and heavy civil projects, as well as rail and environmental remediation services, which acquisition was effective in October; and a company specializing in the production of concrete and aggregate products, which acquisition was effective in August; (ii) within the Company’s Oil and Gas segment: an infrastructure construction company focusing on water, sewer and utility projects and with expertise in excavation and site work, which acquisition was effective in January; (iii) within the Company’s Communications segment: a telecommunications company specializing in wireline services, which acquisition was effective as of the end of May; and (iv) within the Company’s Power Delivery segment: a company specializing in the construction of overhead high voltage transmission lines, which acquisition was effective in July.</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of September 30, 2023, the Company is finalizing certain valuation and contingency-related estimates for the IEA acquisition; as a result, further adjustments to such estimates may occur. The following table summarizes, as of September 30, 2023, the estimated fair values of the consideration paid and net assets acquired, as adjusted, for the Company’s 2022 acquisitions (in millions):</w:t>
      </w:r>
    </w:p>
    <w:tbl>
      <w:tblPr>
        <w:tblW w:w="9140" w:type="dxa"/>
        <w:jc w:val="left"/>
        <w:tblInd w:w="0" w:type="dxa"/>
        <w:tblLayout w:type="fixed"/>
        <w:tblCellMar>
          <w:top w:w="28" w:type="dxa"/>
          <w:left w:w="28" w:type="dxa"/>
          <w:bottom w:w="28" w:type="dxa"/>
          <w:right w:w="28" w:type="dxa"/>
        </w:tblCellMar>
      </w:tblPr>
      <w:tblGrid>
        <w:gridCol w:w="2151"/>
        <w:gridCol w:w="1889"/>
        <w:gridCol w:w="1899"/>
        <w:gridCol w:w="196"/>
        <w:gridCol w:w="556"/>
        <w:gridCol w:w="109"/>
        <w:gridCol w:w="109"/>
        <w:gridCol w:w="109"/>
        <w:gridCol w:w="109"/>
        <w:gridCol w:w="198"/>
        <w:gridCol w:w="472"/>
        <w:gridCol w:w="110"/>
        <w:gridCol w:w="109"/>
        <w:gridCol w:w="109"/>
        <w:gridCol w:w="109"/>
        <w:gridCol w:w="196"/>
        <w:gridCol w:w="556"/>
        <w:gridCol w:w="154"/>
      </w:tblGrid>
      <w:tr>
        <w:trPr/>
        <w:tc>
          <w:tcPr>
            <w:tcW w:w="2151"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Acquisition consideration:</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net of cash acquired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transferred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fair value of warrants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fair value of contingent consideration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consideration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Identifiable assets acquired and liabilities assumed:</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and contract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assets, primarily operating lease right-of-use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Amortizing intangible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 primarily accrued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including finance lease obligations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liabilities, primarily operating lease liabilities and deferred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identifiable net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net assets acquired, including goodwill</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51.5 </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800.0 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Amortizing intangible assets related to the IEA acquisition are primarily composed of customer relationships, and to a lesser extent, trade names and backlog. Customer relationship and trade name intangible assets for IEA, in the aggregate, totaled approximately $321 million, which each had a weighted average life of approximately 14 years based on IEA’s operational history and established relationships with, and the nature of, its customers, which are primarily in the renewable energy and specialty civil industries. Backlog intangible assets for IEA totaled approximately $42 million with a weighted average life of approximately 1 year based on estimated cash flows expected to be derived from future work on acquired contracts with customers. The weighted average life of amortizing intangible assets in the aggregate for the IEA acquisition was 13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80" w:after="120"/>
        <w:jc w:val="both"/>
        <w:rPr>
          <w:rFonts w:ascii="Times New Roman;sans-serif" w:hAnsi="Times New Roman;sans-serif"/>
          <w:b w:val="false"/>
          <w:color w:val="000000"/>
          <w:sz w:val="18"/>
        </w:rPr>
      </w:pPr>
      <w:r>
        <w:rPr>
          <w:rFonts w:ascii="Times New Roman;sans-serif" w:hAnsi="Times New Roman;sans-serif"/>
          <w:b w:val="false"/>
          <w:color w:val="000000"/>
          <w:sz w:val="18"/>
        </w:rPr>
        <w:t>Amortizing intangible assets related to “All other” acquisitions are primarily composed of customer relationships with an aggregate weighted average life of 9 years. Amortizing intangible assets are amortized in a manner consistent with the pattern in which the related benefits are expected to be consumed.</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goodwill balances for each of the respective acquisitions represent the estimated values of each acquired company’s geographic presence in key markets, assembled workforce and synergies expected to be achieved from the combined operations of each of the acquired companies and MasTec and the acquired company’s industry-specific project management expertise. Approximately $37 million of the goodwill balance related to the 2022 acquisitions is expected to be tax deductible as of September 30, 2023.</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shares of MasTec common stock included in consideration transferred for IEA in the table above consist of approximately 2.7 million shares, valued at approximately $174 million based on the market price of MasTec common stock on the date of closing. Total cash paid for acquisitions, net, includes approximately $44 million of cash acquired. Long-term debt in the table above includes $300 million aggregate principal balance of 6.625% senior unsecured notes that were assumed in connection with the acquisition of IEA. See Note 7 - Debt for additional information.</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Consideration transferred for IEA includes the value of certain warrants that were originally issued by IEA, for which the remaining outstanding warrants as of December 31, 2022 had an estimated fair value of $3.1 million. Under the terms of the IEA merger agreement, holders of the IEA warrants became entitled to receive an amount in cash and shares of MasTec common stock upon exercise of the IEA warrants. The number of MasTec shares issued in connection with exercises of such IEA warrants in the first quarter of 2023 was de minimis, and all remaining IEA warrants expired unexercised on March 26, 2023. Fair value gains related primarily to the expired warrants totaled approximately $2.6 million for the nine month period ended September 30, 2023, which amount is reflected in other income.</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Contingent consideration included in the table above is composed of earn-out liabilities, which generally equal a portion of the acquired companies’ earnings before interest, taxes, depreciation and amortization (“EBITDA”) in excess of thresholds agreed upon with the sellers, if applicable. The earn-out arrangements for the 2022 acquisitions are payable annually and have five-year terms, as set forth in the respective purchase agreements, and were valued at approximately $3 million in the aggregate. Earn-outs are recorded within other current and other long-term liabilities, as appropriate, in the consolidated balance sheets. See Note 4 - Fair Value of Financial Instruments for details pertaining to fair value estimates for the Company’s earn-out arrangements. As of September 30, 2023, the range of remaining potential undiscounted earn-out liabilities for the 2022 acquisitions was estimated to be up to $2 million; however, there is no maximum payment amount. Current liabilities reflected in the table above also include operating lease liabilities and contingent liabilities for insurance, legal and other matters.</w:t>
      </w:r>
    </w:p>
    <w:p>
      <w:pPr>
        <w:pStyle w:val="TextBody"/>
        <w:bidi w:val="0"/>
        <w:spacing w:lineRule="auto" w:line="288" w:before="0" w:after="120"/>
        <w:ind w:left="0" w:right="0" w:firstLine="720"/>
        <w:jc w:val="both"/>
        <w:rPr/>
      </w:pPr>
      <w:r>
        <w:rPr>
          <w:rFonts w:ascii="Times New Roman;sans-serif" w:hAnsi="Times New Roman;sans-serif"/>
          <w:b/>
          <w:i/>
          <w:color w:val="000000"/>
          <w:sz w:val="18"/>
        </w:rPr>
        <w:t>HMG Additional Payments.</w:t>
      </w:r>
      <w:r>
        <w:rPr>
          <w:color w:val="000000"/>
        </w:rPr>
        <w:t xml:space="preserve"> </w:t>
      </w:r>
      <w:r>
        <w:rPr>
          <w:rFonts w:ascii="Times New Roman;sans-serif" w:hAnsi="Times New Roman;sans-serif"/>
          <w:b w:val="false"/>
          <w:color w:val="000000"/>
          <w:sz w:val="18"/>
        </w:rPr>
        <w:t>The HMG purchase agreement, for which the subject acquisition was effective in December 2021, provides for certain additional payments to be made to the sellers if certain acquired receivables are collected by the Company (the “Additional Payments”). Pursuant to the terms of the purchase agreement, a portion of the Additional Payments will be made in cash, with the remainder due in shares of MasTec common stock. The estimated number of potential shares that could be issued related to such Additional Payments will be based on the amounts ultimately collected and the share price as defined within the purchase agreement. Changes in the estimated fair value of potential shares that could be issued, which result from changes in MasTec’s share price as compared with the share price as defined within the purchase agreement, are reflected within other income or expense, as appropriate. For the three and nine month periods ended September 30, 2023, unrealized fair value measurement activity related to the contingent shares totaled gains of approximately $7.4 million and $2.1 million, respectively, and for the three and nine month periods ended September 30, 2022, such activity totaled gains of approximately $1.3 million and $4.5 million, respectively. An Additional Payment of approximately $29.4 million was made in May 2022, which payment was composed of approximately $18 million in cash and 133,157 shares of MasTec common stock, and for which a realized gain of approximately $1 million was recognized within other income, net, in the related period.</w:t>
      </w:r>
    </w:p>
    <w:p>
      <w:pPr>
        <w:pStyle w:val="TextBody"/>
        <w:bidi w:val="0"/>
        <w:spacing w:lineRule="auto" w:line="288" w:before="0" w:after="120"/>
        <w:ind w:left="0" w:right="0" w:firstLine="720"/>
        <w:jc w:val="both"/>
        <w:rPr/>
      </w:pPr>
      <w:r>
        <w:rPr>
          <w:rFonts w:ascii="Times New Roman;sans-serif" w:hAnsi="Times New Roman;sans-serif"/>
          <w:b w:val="false"/>
          <w:color w:val="000000"/>
          <w:sz w:val="18"/>
        </w:rPr>
        <w:t xml:space="preserve">As of September 30, 2023 and December 31, 2022, the estimated fair value of remaining Additional Payments totaled approximately $33 million and $37 million, respectively, which amounts are included within other current liabilities in the consolidated balance sheet. For the nine month period ended September 30, 2023, the estimated fair value of remaining Additional Payments </w:t>
      </w:r>
      <w:r>
        <w:rPr>
          <w:rFonts w:ascii="Times New Roman;sans-serif" w:hAnsi="Times New Roman;sans-serif"/>
          <w:b w:val="false"/>
          <w:color w:val="000000"/>
          <w:sz w:val="18"/>
          <w:shd w:fill="FFFFFF" w:val="clear"/>
        </w:rPr>
        <w:t xml:space="preserve">included the effect of unrealized fair value </w:t>
      </w:r>
      <w:r>
        <w:rPr>
          <w:rFonts w:ascii="Times New Roman;sans-serif" w:hAnsi="Times New Roman;sans-serif"/>
          <w:b w:val="false"/>
          <w:color w:val="000000"/>
          <w:sz w:val="18"/>
        </w:rPr>
        <w:t>gains</w:t>
      </w:r>
      <w:r>
        <w:rPr>
          <w:color w:val="000000"/>
          <w:shd w:fill="FFFFFF" w:val="clear"/>
        </w:rPr>
        <w:t xml:space="preserve"> </w:t>
      </w:r>
      <w:r>
        <w:rPr>
          <w:rFonts w:ascii="Times New Roman;sans-serif" w:hAnsi="Times New Roman;sans-serif"/>
          <w:b w:val="false"/>
          <w:color w:val="000000"/>
          <w:sz w:val="18"/>
          <w:shd w:fill="FFFFFF" w:val="clear"/>
        </w:rPr>
        <w:t>related to the contingent shares of app</w:t>
      </w:r>
      <w:r>
        <w:rPr>
          <w:rFonts w:ascii="Times New Roman;sans-serif" w:hAnsi="Times New Roman;sans-serif"/>
          <w:b w:val="false"/>
          <w:color w:val="000000"/>
          <w:sz w:val="18"/>
        </w:rPr>
        <w:t>roximately $2.1 million and a reduction of approximately $2.4 million from changes in collections attributed to acquired balances. The estimated number of shares that would be paid in connection with the remaining Additional Payment liability totaled approximately 160,000 and 170,000 shares as of September 30, 2023 and December 31, 2022, respectively. Of the total remaining Additional Payments as of September 30, 2023, the amount due to the sellers, based on amounts collected as of September 30, 2023, totaled approximately $19.4 million, of which the amount due in shares totaled approximately $6.3 million, or 87,900 shares. See Note 2 - Earnings Per Share for the effect of the above referenced shares on the Company’s earnings per share calculations.</w:t>
      </w:r>
    </w:p>
    <w:p>
      <w:pPr>
        <w:pStyle w:val="TextBody"/>
        <w:bidi w:val="0"/>
        <w:spacing w:lineRule="auto" w:line="288" w:before="0" w:after="120"/>
        <w:ind w:left="0" w:right="0" w:firstLine="720"/>
        <w:jc w:val="both"/>
        <w:rPr/>
      </w:pPr>
      <w:r>
        <w:rPr>
          <w:rFonts w:ascii="Times New Roman;sans-serif" w:hAnsi="Times New Roman;sans-serif"/>
          <w:b/>
          <w:i/>
          <w:color w:val="000000"/>
          <w:sz w:val="18"/>
        </w:rPr>
        <w:t xml:space="preserve">Pro forma results. </w:t>
      </w:r>
      <w:r>
        <w:rPr>
          <w:rFonts w:ascii="Times New Roman;sans-serif" w:hAnsi="Times New Roman;sans-serif"/>
          <w:b w:val="false"/>
          <w:color w:val="000000"/>
          <w:sz w:val="18"/>
        </w:rPr>
        <w:t>For the three month periods ended September 30, 2023 and 2022, unaudited supplemental pro forma revenue totaled approximately $3.2 billion and $3.3 billion, respectively, and unaudited supplemental pro forma net income totaled approximately $2.3 million and $40.0 million, respectively. For the nine month periods ended September 30, 2023 and 2022, unaudited supplemental pro forma revenue totaled approximately $8.7 billion and $8.6 billion, respectively, and unaudited supplemental pro forma net loss totaled approximately $65.6 million and $6.9 million, respectively. Supplemental pro forma information for the Company’s first quarter 2023 acquisition has not been presented for the pre-acquisition periods due to the impracticability of obtaining accurate or reliable historical financial information for the assets of the entity that was acquired.</w:t>
      </w:r>
    </w:p>
    <w:p>
      <w:pPr>
        <w:pStyle w:val="TextBody"/>
        <w:bidi w:val="0"/>
        <w:spacing w:lineRule="auto" w:line="288" w:before="0" w:after="120"/>
        <w:ind w:left="0" w:right="0" w:firstLine="720"/>
        <w:jc w:val="both"/>
        <w:rPr/>
      </w:pPr>
      <w:r>
        <w:rPr>
          <w:rFonts w:ascii="Times New Roman;sans-serif" w:hAnsi="Times New Roman;sans-serif"/>
          <w:b/>
          <w:i/>
          <w:color w:val="000000"/>
          <w:sz w:val="18"/>
        </w:rPr>
        <w:t>Acquisition-related results</w:t>
      </w:r>
      <w:r>
        <w:rPr>
          <w:rFonts w:ascii="Times New Roman;sans-serif" w:hAnsi="Times New Roman;sans-serif"/>
          <w:b w:val="false"/>
          <w:color w:val="000000"/>
          <w:sz w:val="18"/>
        </w:rPr>
        <w:t xml:space="preserve">. For the three and nine month periods ended September 30, 2023, the Company’s consolidated results of operations included acquisition-related revenue of approximately $533.2 million and $1,503.5 million, respectively, including a total of approximately $483.9 million and $1,374.6 million, respectively, for IEA. For the three and nine month periods ended September 30, 2022, the Company’s consolidated results of operations included acquisition-related revenue of approximately $569.7 million and $1,876.6 million, respectively, including approximately $429.3 million for HMG for the three month period ended September 30, 2022, and $1,457.7 million in the aggregate for HMG and INTREN, LLC for the nine month period ended September 30, 2022. For the three and nine month periods ended September 30, 2023, the Company’s consolidated results of operations included acquisition-related net losses of approximately $2.8 million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$42.7 million, respectively, based on the Company’s consolidated effective tax rates, and for the three and nine month periods ended September 30, 2022, the Company’s consolidated results of operations included acquisition-related net income of approximately $18.4 million and $37.7 million, respectively, based on the Company’s consolidated effective tax rates. These acquisition-related results include amortization of acquired intangible assets and certain acquisition integration costs, and exclude the effects of interest expense associated with consideration paid for the related acquisitions.</w:t>
      </w:r>
    </w:p>
    <w:p>
      <w:pPr>
        <w:pStyle w:val="TextBody"/>
        <w:bidi w:val="0"/>
        <w:spacing w:lineRule="auto" w:line="288" w:before="0" w:after="120"/>
        <w:ind w:left="0" w:right="0" w:firstLine="720"/>
        <w:jc w:val="both"/>
        <w:rPr/>
      </w:pPr>
      <w:r>
        <w:rPr>
          <w:rFonts w:ascii="Times New Roman;sans-serif" w:hAnsi="Times New Roman;sans-serif"/>
          <w:b/>
          <w:i/>
          <w:color w:val="000000"/>
          <w:sz w:val="18"/>
        </w:rPr>
        <w:t>Acquisition and integration costs</w:t>
      </w:r>
      <w:r>
        <w:rPr>
          <w:rFonts w:ascii="Times New Roman;sans-serif" w:hAnsi="Times New Roman;sans-serif"/>
          <w:b w:val="false"/>
          <w:color w:val="000000"/>
          <w:sz w:val="18"/>
        </w:rPr>
        <w:t>. The Company has incurred certain acquisition and integration costs in connection with its recent acquisitions, which costs are included within general and administrative expenses, costs of revenue, excluding depreciation and amortization, and other expense, as appropriate. Acquisition and integration costs include: i) the costs of integrating acquired entities, such as: employee termination expenses, including employee compensation relating to the elimination of certain positions that were determined to be redundant, and other integration-type costs, including operating cost redundancies, facility consolidation expenses, lease termination expenses, losses on disposal of identified assets, system migration expenses, training and other integration costs; and ii) legal, professional and other fees associated with the consummation of these acquisitions, including fees paid in connection with certain transaction-related financing commitments, including, in the second half of 2022, bridge financing related to the IEA acquisition. These integration efforts are ongoing and the Company expects to incur any remaining acquisition and integration expenses in the fourth quarter of 2023. For the three and nine month periods ended September 30, 2023, such acquisition and integration costs totaled approximately $21.1 million and $60.9 million, respectively, of which $18.3 million and $53.3 million, respectively, was included within general and administrative expenses, and of which $2.8 million and $7.6 million, respectively, was included within costs of revenue, excluding depreciation and amortization. Acquisition and integration costs for the three and nine month periods ended September 30, 2022 totaled approximately $33.3 million and $59.4 million, respectively, of which $9.2 million and $35.3 million, respectively, was included within general and administrative expenses, and of which $21.4 million was included within costs of revenue, excluding depreciation and amortization, for both periods, and of which $2.7 million was included within other expense for both periods. As of September 30, 2023 and December 31, 2022, approximately $6.7 million and $5.5 million, respectively, was included within current liabilities within the consolidated balance sheets related to such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 xml:space="preserve">Note 4 – Fair Value of Financial Instruments </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Company’s financial instruments are primarily composed of cash and cash equivalents, accounts and notes receivable, cash collateral deposited with insurance carriers, life insurance assets, equity investments, certain other assets and investments, deferred compensation plan assets and liabilities, accounts payable and other current liabilities, acquisition-related contingent consideration and other liabilities, and debt obligations.</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Fair value is the price that would be received to sell an asset or the amount paid to transfer a liability, also referred to as the “exit price,” in the principal or most advantageous market for the asset or liability in an orderly transaction between market participants on the measurement date. The fair value guidance establishes a valuation hierarchy, which requires maximizing the use of observable inputs when measuring fair value. The three levels of inputs that may be used are: (i) Level 1 - quoted market prices in active markets for identical assets or liabilities; (ii) Level 2 - observable market-based inputs or other observable inputs; and (iii) Level 3 - significant unobservable inputs that cannot be corroborated by observable market data, which are generally determined using valuation models incorporating management estimates of market participant assumptions.</w:t>
      </w:r>
    </w:p>
    <w:p>
      <w:pPr>
        <w:pStyle w:val="TextBody"/>
        <w:bidi w:val="0"/>
        <w:spacing w:lineRule="auto" w:line="288" w:before="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Acquisition-Related Contingent Consideration and Other Liabilities</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Acquisition-related contingent consideration and other liabilities is composed of earn-outs, which represent the estimated fair value of future amounts payable for businesses, including for mandatorily redeemable non-controlling interests (together, “Earn-outs”), that are contingent upon the acquired business achieving certain levels of earnings in the future. As of September 30, 2023 and December 31, 2022, the estimated fair value of the Company’s Earn-out liabilities totaled $83.0 million and $127.4 million, respectively. As of September 30, 2023, there were no estimated liabilities related to the mandatorily redeemable non-controlling interests, and as of December 31, 2022, the fair value of such liabilities totaled $13.9 million. Earn-out liabilities included within other current liabilities totaled approximately $29.5 million and $37.7 million as of September 30, 2023 and December 31, 2022, respectively. The fair values of the Company’s Earn-out liabilities are estimated using income approaches such as discounted cash flows or option pricing models, both of which incorporate significant inputs not observable in the market (Level 3 inputs), including management’s estimates and entity-specific assumptions, and are evaluated on an ongoing basis. Key assumptions include the discount rate, which was 14.0% as of September 30, 2023, and probability-weighted projections of earnings before interest, taxes, depreciation and amortization (“EBITDA”). Significant changes in any of these assumptions could result in significantly higher or lower potential Earn-out liabilities. The ultimate payment amounts for the Company’s Earn-out liabilities will be determined based on the actual results achieved by the acquired businesses. As of September 30, 2023, the range of potential undiscounted Earn-out liabilities was estimated to be between $12 million and $98 million; however, there is no maximum payment amount.</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Earn-out activity consists primarily of additions from new business combinations; changes in the expected fair value of future payment obligations; and payments. For both the three and nine month periods ended September 30, 2023, additions from new business combinations totaled approximately $1.4 million, and for the three and nine month periods ended September 30, 2022, such additions totaled approximately $2.1 million and $3.8 million, respectively. There were no measurement period adjustments in either the three or nine month periods ended September 30, 2023. There were no measurement period adjustments for the three month period ended September 30, 2022, and for the nine month period ended September 30, 2022, measurement period adjustments totaled an increase, net, of approximately $1.5 million and related to a net increase in the Company’s Oil and Gas segment, partially offset by a decrease in its Communications segment. For the three month period ended September 30, 2023, fair value adjustments totaled a decrease, net, of approximately $4.9 million and related to net decreases primarily within the Company’s Communications and Oil and Gas segments. For the nine month period ended September 30, 2023, fair value adjustments totaled a decrease, net, of approximately $7.0 million and related to a net decrease in the Company’s Communications segment, partially offset by a net increase, primarily within the Company’s Clean Energy and Infrastructure and Oil and Gas segments. The decrease in the Communications segment for the nine month period ended September 30, 2023 included a reduction of approximately $12.3 million related to mandatorily redeemable non-controlling interests. For the three and nine month periods ended September 30, 2022, fair value adjustments totaled an increase of approximately $0.1 million and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decrease, net, of approximately $1.2 million, respectively, and for both periods, related primarily to the Company’s Communications segment. For the three and nine month periods ended September 30, 2023, Earn-out payments totaled approximately $12.7 million and $38.8 million, respectively, which included approximately $1.7 million related to mandatorily redeemable non-controlling interests for the nine month period ended September 30, 2023. For the three and nine month periods ended September 30, 2022, Earn-out payments totaled approximately $11.0 million and $37.8 million, respectively.</w:t>
      </w:r>
    </w:p>
    <w:p>
      <w:pPr>
        <w:pStyle w:val="TextBody"/>
        <w:bidi w:val="0"/>
        <w:spacing w:lineRule="auto" w:line="288" w:before="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Equity Investments</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Company’s equity investments as of September 30, 2023 include: (i) the Company’s 33% equity interests in Trans-Pecos Pipeline, LLC (“TPP”) and Comanche Trail Pipeline, LLC (“CTP,” and together with TPP, the “Waha JVs”); (ii) a 15% equity interest in Cross Country Infrastructure Services, Inc. (“CCI”); (iii) the Company’s 50% equity interests in each of FM Technology Holdings, LLC, FM USA Holdings, LLC and All Communications Solutions Holdings, LLC, collectively “FM Tech”; (iv) the Company’s interests in certain proportionately consolidated non-controlled contractual joint ventures; and (v) certain other equity investments.</w:t>
      </w:r>
    </w:p>
    <w:p>
      <w:pPr>
        <w:pStyle w:val="TextBody"/>
        <w:bidi w:val="0"/>
        <w:spacing w:lineRule="auto" w:line="288" w:before="0" w:after="120"/>
        <w:ind w:left="0" w:right="0" w:firstLine="720"/>
        <w:jc w:val="both"/>
        <w:rPr/>
      </w:pPr>
      <w:r>
        <w:rPr>
          <w:rFonts w:ascii="Times New Roman;sans-serif" w:hAnsi="Times New Roman;sans-serif"/>
          <w:b/>
          <w:i/>
          <w:color w:val="000000"/>
          <w:sz w:val="18"/>
        </w:rPr>
        <w:t>Investment Arrangements</w:t>
      </w:r>
      <w:r>
        <w:rPr>
          <w:rFonts w:ascii="Times New Roman;sans-serif" w:hAnsi="Times New Roman;sans-serif"/>
          <w:b w:val="false"/>
          <w:color w:val="000000"/>
          <w:sz w:val="18"/>
        </w:rPr>
        <w:t>. From time to time, the Company may participate in selected investment or strategic arrangements, including equity interests in various business entities and participation in contractual joint ventures, some of which may involve the extension of loans or other types of financing arrangements. The Company has determined that certain of its investment arrangements are variable interest entities (“VIEs”). As of September 30, 2023, except for one individually insignificant VIE, the Company does not have the power to direct the primary activities that most significantly impact the economic performance of its VIEs, nor is it the primary beneficiary. Accordingly, except for the previously mentioned VIE, the Company’s VIEs are not consolidated. The carrying values of the Company’s VIEs totaled approximately $23 million and $24 million as of September 30, 2023 and December 31, 2022, respectively, which amounts are recorded within other long-term assets in the consolidated balance sheets. Management believes that the Company’s maximum exposure to loss for its VIEs, inclusive of additional financing commitments, approximated $35 million and $37 million as of September 30, 2023 and December 31, 2022, respectively.</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Equity investments, other than those accounted for as equity method investments or those that are proportionately consolidated, are measured at fair value if their fair values are readily determinable. Equity investments that do not have readily determinable fair values are measured at cost, adjusted for changes from observable market transactions, if any, less impairment, which is referred to as the “adjusted cost basis.” As of September 30, 2023 and December 31, 2022, the aggregate carrying value of the Company’s equity investments, including equity investments measured on an adjusted cost basis, totaled approximately $325 million and $306 million, respectively. As of September 30, 2023 and December 31, 2022, equity investments measured on an adjusted cost basis, including the Company’s $15 million investment in CCI, totaled approximately $18 million and $20 million, respectively. Except for one investment for which the Company recorded an impairment loss totaling approximately $3 million in the third quarter of 2023, there were no impairments related to these investments in any of the three or nine month periods ended September 30, 2023 or 2022. </w:t>
      </w:r>
    </w:p>
    <w:p>
      <w:pPr>
        <w:pStyle w:val="TextBody"/>
        <w:bidi w:val="0"/>
        <w:spacing w:lineRule="auto" w:line="288" w:before="0" w:after="120"/>
        <w:ind w:left="0" w:right="0" w:firstLine="720"/>
        <w:jc w:val="both"/>
        <w:rPr/>
      </w:pPr>
      <w:r>
        <w:rPr>
          <w:rFonts w:ascii="Times New Roman;sans-serif" w:hAnsi="Times New Roman;sans-serif"/>
          <w:b/>
          <w:i/>
          <w:color w:val="000000"/>
          <w:sz w:val="18"/>
        </w:rPr>
        <w:t>The Waha JVs</w:t>
      </w:r>
      <w:r>
        <w:rPr>
          <w:rFonts w:ascii="Times New Roman;sans-serif" w:hAnsi="Times New Roman;sans-serif"/>
          <w:b w:val="false"/>
          <w:i/>
          <w:color w:val="000000"/>
          <w:sz w:val="18"/>
        </w:rPr>
        <w:t>.</w:t>
      </w:r>
      <w:r>
        <w:rPr>
          <w:color w:val="000000"/>
        </w:rPr>
        <w:t xml:space="preserve"> </w:t>
      </w:r>
      <w:r>
        <w:rPr>
          <w:rFonts w:ascii="Times New Roman;sans-serif" w:hAnsi="Times New Roman;sans-serif"/>
          <w:b w:val="false"/>
          <w:color w:val="000000"/>
          <w:sz w:val="18"/>
        </w:rPr>
        <w:t>The Waha JVs own and operate certain pipeline infrastructure that transports natural gas to the Mexican border for export. The Company’s investments in the Waha JVs are accounted for as equity method investments. Equity in earnings related to the Company’s proportionate share of income from the Waha JVs, which is included within the Company’s Other segment, totaled approximately $7.7 million and $23.1 million for the three and nine month periods ended September 30, 2023, respectively, and totaled approximately $5.8 million and $20.8 million for the three and nine month periods ended September 30, 2022, respectively. Distributions of earnings from the Waha JVs, which are included within operating cash flows, totaled approximately $4.7 million and $10.5 million for the three and nine month periods ended September 30, 2023, respectively, and totaled approximately $4.4 million and $12.1 million for the three and nine month periods ended September 30, 2022, respectively. Cumulative undistributed earnings from the Waha JVs, which represents cumulative equity in earnings for the Waha JVs less distributions of earnings, totaled $123.3 million as of September 30, 2023. The Company’s net investment in the Waha JVs, which differs from its proportionate share of the net assets of the Waha JVs due primarily to equity method goodwill associated with capitalized investment costs, totaled approximately $280 million and $263 million as of September 30, 2023 and December 31, 2022, respectively.</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Waha JVs are party to separate non-recourse financing facilities, each of which are secured by pledges of the equity interests in the respective entities, as well as a first lien security interest over virtually all of their assets. The Waha JVs are also party to certain interest rate swaps (the “Waha JV swaps”), which are accounted for as qualifying cash flow hedges. The Company reflects its proportionate share of any unrealized fair market value gains or losses from fluctuations in interest rates associated with these swaps within other comprehensive income or loss, as appropriate. For the three and nine month periods ended September 30, 2023, the Company’s proportionate share of unrecognized unrealized activity on the Waha JV swaps totaled gains of approximately $4.9 million and $5.4 million, respectively, or $3.7 million and $4.0 million, net of tax, respectively. For the three and nine month periods ended September 30, 2022, unrecognized unrealized activity related to the Waha JV swaps totaled gains of approximately $13.4 million and $42.0 million, respectively, or $10.1 million and $31.7 million, net of tax, respectively.</w:t>
      </w:r>
    </w:p>
    <w:p>
      <w:pPr>
        <w:pStyle w:val="TextBody"/>
        <w:bidi w:val="0"/>
        <w:spacing w:lineRule="auto" w:line="288" w:before="0" w:after="120"/>
        <w:ind w:left="0" w:right="0" w:firstLine="720"/>
        <w:jc w:val="both"/>
        <w:rPr/>
      </w:pPr>
      <w:r>
        <w:rPr>
          <w:rFonts w:ascii="Times New Roman;sans-serif" w:hAnsi="Times New Roman;sans-serif"/>
          <w:b/>
          <w:i/>
          <w:color w:val="000000"/>
          <w:sz w:val="18"/>
        </w:rPr>
        <w:t>Other Investments</w:t>
      </w:r>
      <w:r>
        <w:rPr>
          <w:rFonts w:ascii="Times New Roman;sans-serif" w:hAnsi="Times New Roman;sans-serif"/>
          <w:b w:val="false"/>
          <w:i/>
          <w:color w:val="000000"/>
          <w:sz w:val="18"/>
        </w:rPr>
        <w:t xml:space="preserve">. </w:t>
      </w:r>
      <w:r>
        <w:rPr>
          <w:rFonts w:ascii="Times New Roman;sans-serif" w:hAnsi="Times New Roman;sans-serif"/>
          <w:b w:val="false"/>
          <w:color w:val="000000"/>
          <w:sz w:val="18"/>
        </w:rPr>
        <w:t>The Company has equity interests in certain telecommunications entities that are accounted for as equity method investments. As of both September 30, 2023 and December 31, 2022, the Company had an aggregate investment of approximately $21 million in these entities, including $18 million for FM Tech as of both periods. The Company made no equity contributions related to its investments in these telecommunications entities in either of the three or nine month periods ended September 30, 2023. For the three month period ended September 30, 2022, the Company made no equity contributions related to its investments in these telecommunications entities, and for the nine month period ended September 30, 2022, equity contributions related to these entities totaled approximately $1.1 million. The Company’s proportionate share of results from these telecommunications entities totaled equity in losses, net, of approximately $0.7 million for the three month period ended September 30, 2023, and for the nine month period ended September 30, 2023, totaled equity in earnings, net, of approximately $0.3 million. For the three month period ended September 30, 2022, the Company’s proportionate share of results from these entities totaled equity in earnings, net, of approximately $0.4 million, and for the nine month period ended September 30, 2022, totaled equity in losses, net, of approximately $0.5 million.</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Certain of these telecommunications entities provide services to MasTec. Expense recognized in connection with services provided by these entities totaled approximately $0.4 million and $1.3 million for the three and nine month periods ended September 30, 2023, respectively, and totaled approximately $2.6 million and $5.1 million for the three and nine month periods ended September 30, 2022, respectively. As of both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September 30, 2023 and December 31, 2022, related amounts payable to these entities totaled approximately $0.2 million. In addition, the Company had an employee leasing arrangement with one of these entities and has advanced certain amounts to these entities. For the three and nine month periods ended September 30, 2023, advances to these entities totaled approximately $0.2 million and $0.7 million, respectively, and for both the three and nine month periods ended September 30, 2022, such advances totaled approximately $2.0 million. As of September 30, 2023 and December 31, 2022, receivables related to these arrangements totaled approximately $4.2 million and $3.8 million, respectively.</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has 49% equity interests in certain entities included within its Communications and Power Delivery segments that are accounted for as equity method investments, for which its aggregate investment as of both September 30, 2023 and December 31, 2022 totaled approximately $3 million. For the three and nine month periods ended September 30, 2023, equity in losses, net, related to these entities totaled approximately $0.2 million and $0.1 million, respectively, and for the three and nine month periods ended September 30, 2022, equity in losses, net, totaled approximately $0.1 million and $0.4 million, respectively. The above described entities provide construction services to MasTec. Expense recognized in connection with construction services provided by these entities totaled approximately $0.2 million and $0.8 million for the three and nine month periods ended September 30, 2023, respectively, and totaled approximately $0.8 million and $5.8 million for the three and nine month periods ended September 30, 2022, respectively. As of both September 30, 2023 and December 31, 2022, related amounts payable were de minimis. In addition, the Company provides line of credit arrangements to these entities, which, as of September 30, 2023 and December 31, 2022, provide for up to $3.0 million and $4.5 million, respectively, of borrowing availability. There were no borrowings as of September 30, 2023, and as of December 31, 2022, $0.6 million was drawn, which amount was included within other current assets in the consolidated balance sheets.</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has a 75% equity interest in Confluence Networks, LLC (“Confluence”), an undersea fiber-optic communications systems developer and VIE, which is accounted for as an equity method investment. As of September 30, 2023, a total of $2.1 million of the $2.5 million initial commitment had been funded, of which $0.2 million was funded during both the nine month periods ended September 30, 2023 and 2022. Equity in losses related to this entity were de minimis for both the three month periods ended September 30, 2023 and 2022, and for the nine month periods ended September 30, 2023 and 2022, totaled approximately $0.1 million and $0.3 million, respectively.</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also has certain equity investments in American Virtual Cloud Technologies, Inc. (“AVCT”), in which the Company has no active involvement. AVCT filed for bankruptcy in the first quarter of 2023, during which period the Company wrote-off its remaining $0.2 million investment.</w:t>
      </w:r>
    </w:p>
    <w:p>
      <w:pPr>
        <w:pStyle w:val="TextBody"/>
        <w:bidi w:val="0"/>
        <w:spacing w:lineRule="auto" w:line="288" w:before="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Senior Notes</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of both September 30, 2023 and December 31, 2022, the gross carrying amount of the Company’s 4.50% senior notes due August 15, 2028 (the “4.50% Senior Notes”) totaled $600.0 million, and their estimated fair value totaled approximately $539.5 million and $534.0 million for the respective periods. As of September 30, 2023 and December 31, 2022, the gross carrying amount of the Company’s 6.625% senior notes due August 15, 2029 totaled $283.5 million and $281.2 million, respectively, which notes are composed of $225.1 million aggregate principal amount of 6.625% IEA senior notes (the “6.625% IEA Senior Notes”) and $74.9 million aggregate principal amount of 6.625% MasTec senior notes (the “6.625% MasTec Senior Notes”), collectively, the “6.625% Senior Notes”). The estimated fair value of the 6.625% Senior Notes totaled approximately $268.3 million and $280.5 million as of September 30, 2023 and December 31, 2022, respectively. The estimated fair values of the Company’s 4.50% Senior Notes and 6.625% Senior Notes were determined based on an exit price approach using Level 1 inputs.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5 – Accounts Receivable, Net of Allowance, and Contract Assets and Liabilities</w:t>
      </w:r>
    </w:p>
    <w:p>
      <w:pPr>
        <w:pStyle w:val="TextBody"/>
        <w:bidi w:val="0"/>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provides details of accounts receivable, net of allowance, and contract assets (together, “accounts receivable, net”) as of the dates indicated (in millions):</w:t>
      </w:r>
    </w:p>
    <w:tbl>
      <w:tblPr>
        <w:tblW w:w="5502" w:type="dxa"/>
        <w:jc w:val="left"/>
        <w:tblInd w:w="0" w:type="dxa"/>
        <w:tblLayout w:type="fixed"/>
        <w:tblCellMar>
          <w:top w:w="28" w:type="dxa"/>
          <w:left w:w="28" w:type="dxa"/>
          <w:bottom w:w="28" w:type="dxa"/>
          <w:right w:w="28" w:type="dxa"/>
        </w:tblCellMar>
      </w:tblPr>
      <w:tblGrid>
        <w:gridCol w:w="1011"/>
        <w:gridCol w:w="887"/>
        <w:gridCol w:w="892"/>
        <w:gridCol w:w="236"/>
        <w:gridCol w:w="833"/>
        <w:gridCol w:w="131"/>
        <w:gridCol w:w="109"/>
        <w:gridCol w:w="109"/>
        <w:gridCol w:w="109"/>
        <w:gridCol w:w="223"/>
        <w:gridCol w:w="787"/>
        <w:gridCol w:w="175"/>
      </w:tblGrid>
      <w:tr>
        <w:trPr/>
        <w:tc>
          <w:tcPr>
            <w:tcW w:w="10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Contract billings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1,408.1 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Less allowance</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of allowance</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1,399.7 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Retainage</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Unbilled receivables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1,616.0 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1,328.0 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2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1,967.0 </w:t>
            </w:r>
          </w:p>
        </w:tc>
        <w:tc>
          <w:tcPr>
            <w:tcW w:w="1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1,729.9 </w:t>
            </w:r>
          </w:p>
        </w:tc>
        <w:tc>
          <w:tcPr>
            <w:tcW w:w="1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Contract billings represent the amount of performance obligations that have been billed but not yet collected, whereas contract assets consist of unbilled receivables and retainage. Unbilled receivables represent the estimated value of unbilled work for projects with performance obligations recognized over time. Unbilled receivables, which are included in contract assets, include amounts for work performed for which the Company has an unconditional right to receive payment and that are not subject to the completion of any other specific task, other than the billing itself. Retainage represents a portion of the contract amount that has been billed, but for which the contract allows the customer to retain a portion of the billed amount until final contract settlement, which is generally, from 5% to 10% of contract billings. The increase in unbilled receivables as of September 30, 2023 was driven, in large part, by ordinary course project activity associated with higher levels of revenue in the Company’s Oil and Gas segment, as well as timing of billings across the Company’s segments. For the nine month period ended September 30, 2023, provisions for credit losses totaled a recovery of approximately $0.1 million, and for the nine month period ended September 30, 2022, provisions for credit losses totaled approximately $0.7 million. Impairment losses on contract assets were not material in either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Contract liabilities consist primarily of deferred revenue. Under certain contracts, the Company may be entitled to invoice the customer and receive payments in advance of performing the related contract work. In those instances, the Company recognizes a liability for advance billings in excess of revenue recognized, which is referred to as deferred revenue. Contract liabilities also include the amount of any accrued project losses. Total contract liabilities, including accrued project losses, totaled approximately $506.5 million and $406.2 million as of September 30, 2023 and December 31, 2022, respectively, of which deferred revenue comprised approximately $496.0 million and $390.3 million, respectively. The increase in contract liabilities as of September 30, 2023 was driven primarily by ordinary course project activity, including in connection with new project starts within the Company’s Clean Energy and Infrastructure segment. For the nine month period ended September 30, 2023, the Company recognized revenue of approximately $355.3 million related to amounts that were included in deferred revenue as of December 31, 2022, resulting primarily from the advancement of physical progress on the related projects during the period, including amounts from recently acquired businesses.</w:t>
      </w:r>
    </w:p>
    <w:p>
      <w:pPr>
        <w:pStyle w:val="TextBody"/>
        <w:bidi w:val="0"/>
        <w:spacing w:lineRule="auto" w:line="288" w:before="120" w:after="283"/>
        <w:ind w:left="0" w:right="0" w:firstLine="720"/>
        <w:jc w:val="both"/>
        <w:rPr/>
      </w:pPr>
      <w:r>
        <w:rPr>
          <w:rFonts w:ascii="Times New Roman;sans-serif" w:hAnsi="Times New Roman;sans-serif"/>
          <w:b w:val="false"/>
          <w:color w:val="000000"/>
          <w:sz w:val="18"/>
        </w:rPr>
        <w:t>The Company is party to non-recourse financing arrangements in the ordinary course of business, under which certain receivables are sold to a financial institution in return for a nominal fee. In certain instances, the Company continues to service the transferred receivable, for which the corresponding servicing assets or liabilities are not material. For the nine month period ended September 30, 2023, the Company sold approximately $50 million of receivables under this program, and as of September 30, 2023, the Company had approximately $47 million of outstanding sold receivables, which are excluded from Accounts Receivable, net of Allowance, in the consolidated balance sheets. The servicing of such receivables is not considered to constitute significant continuing involvement and the receivables are correspondingly accounted for as sales under ASC Topic 860, “</w:t>
      </w:r>
      <w:r>
        <w:rPr>
          <w:rFonts w:ascii="Times New Roman;sans-serif" w:hAnsi="Times New Roman;sans-serif"/>
          <w:b w:val="false"/>
          <w:i/>
          <w:color w:val="000000"/>
          <w:sz w:val="18"/>
        </w:rPr>
        <w:t>Transfers and Servicing</w:t>
      </w:r>
      <w:r>
        <w:rPr>
          <w:rFonts w:ascii="Times New Roman;sans-serif" w:hAnsi="Times New Roman;sans-serif"/>
          <w:b w:val="false"/>
          <w:color w:val="000000"/>
          <w:sz w:val="18"/>
        </w:rPr>
        <w:t>.” Cash collections from such financing arrangements are reflected within operating activities in the consolidated statements of cash flows. The Company is also party to an arrangement with a customer, which allows for early collection of receivables for a nominal fee, at the Company’s option. Discount charges related to these arrangements, which are included within interest expense, net, totaled approximately $3.8 million and $2.4 million for the three month periods ended September 30, 2023 and 2022, respectively, and totaled $11.8 million and $4.9 million, respectively, for the nine month periods ended September 30,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6 – Property and Equipment, Net</w:t>
      </w:r>
    </w:p>
    <w:p>
      <w:pPr>
        <w:pStyle w:val="TextBody"/>
        <w:bidi w:val="0"/>
        <w:spacing w:lineRule="auto" w:line="288" w:before="120" w:after="6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provides details of property and equipment, net, including property and equipment held under finance leases as of the dates indicated (in millions):</w:t>
      </w:r>
    </w:p>
    <w:tbl>
      <w:tblPr>
        <w:tblW w:w="6597" w:type="dxa"/>
        <w:jc w:val="left"/>
        <w:tblInd w:w="0" w:type="dxa"/>
        <w:tblLayout w:type="fixed"/>
        <w:tblCellMar>
          <w:top w:w="28" w:type="dxa"/>
          <w:left w:w="28" w:type="dxa"/>
          <w:bottom w:w="28" w:type="dxa"/>
          <w:right w:w="28" w:type="dxa"/>
        </w:tblCellMar>
      </w:tblPr>
      <w:tblGrid>
        <w:gridCol w:w="1405"/>
        <w:gridCol w:w="1236"/>
        <w:gridCol w:w="1244"/>
        <w:gridCol w:w="236"/>
        <w:gridCol w:w="833"/>
        <w:gridCol w:w="131"/>
        <w:gridCol w:w="109"/>
        <w:gridCol w:w="109"/>
        <w:gridCol w:w="109"/>
        <w:gridCol w:w="223"/>
        <w:gridCol w:w="787"/>
        <w:gridCol w:w="175"/>
      </w:tblGrid>
      <w:tr>
        <w:trPr/>
        <w:tc>
          <w:tcPr>
            <w:tcW w:w="1405"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Land</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Buildings and leasehold improvements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Machinery, equipment and vehicles</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3,033.0 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2,797.0 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Office equipment, furniture and internal-use software</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in progress</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Total property and equipment</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3,565.9 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3,311.4 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 and amortization</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(1,836.1)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(1,557.3)</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2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1,729.8 </w:t>
            </w:r>
          </w:p>
        </w:tc>
        <w:tc>
          <w:tcPr>
            <w:tcW w:w="1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1,754.1 </w:t>
            </w:r>
          </w:p>
        </w:tc>
        <w:tc>
          <w:tcPr>
            <w:tcW w:w="1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of September 30, 2023 and December 31, 2022, the gross amount of capitalized internal-use software totaled $208.9 million and $186.6 million, respectively, and, net of accumulated amortization, totaled $49.8 million and $39.9 million, respectively. During the second quarter of 2023, the depreciable lives of certain assets were updated on a prospective basis to better align the respective assets’ lives with their expected useful lives, based on management’s assessment of the physical and economic factors of the related assets. The effect of this update was a decrease in depreciation expense of approximately $2 million and $4 million for the three and nine month periods ended September 30,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19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7 – Debt</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provides details of the carrying values of debt as of the dates indicated (in millions):</w:t>
      </w:r>
    </w:p>
    <w:tbl>
      <w:tblPr>
        <w:tblW w:w="8000" w:type="dxa"/>
        <w:jc w:val="left"/>
        <w:tblInd w:w="0" w:type="dxa"/>
        <w:tblLayout w:type="fixed"/>
        <w:tblCellMar>
          <w:top w:w="28" w:type="dxa"/>
          <w:left w:w="28" w:type="dxa"/>
          <w:bottom w:w="28" w:type="dxa"/>
          <w:right w:w="28" w:type="dxa"/>
        </w:tblCellMar>
      </w:tblPr>
      <w:tblGrid>
        <w:gridCol w:w="678"/>
        <w:gridCol w:w="596"/>
        <w:gridCol w:w="600"/>
        <w:gridCol w:w="109"/>
        <w:gridCol w:w="109"/>
        <w:gridCol w:w="109"/>
        <w:gridCol w:w="919"/>
        <w:gridCol w:w="919"/>
        <w:gridCol w:w="922"/>
        <w:gridCol w:w="109"/>
        <w:gridCol w:w="109"/>
        <w:gridCol w:w="109"/>
        <w:gridCol w:w="236"/>
        <w:gridCol w:w="833"/>
        <w:gridCol w:w="131"/>
        <w:gridCol w:w="109"/>
        <w:gridCol w:w="109"/>
        <w:gridCol w:w="109"/>
        <w:gridCol w:w="223"/>
        <w:gridCol w:w="787"/>
        <w:gridCol w:w="175"/>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1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November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4.50%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August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6.625% Senior Notes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August 15,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2022 Term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October 7, 2025 and October 7,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and other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3,219.7 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3,241.7 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 net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3,205.2 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3,224.1 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3,029.9 </w:t>
            </w:r>
          </w:p>
        </w:tc>
        <w:tc>
          <w:tcPr>
            <w:tcW w:w="1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3,052.2 </w:t>
            </w:r>
          </w:p>
        </w:tc>
        <w:tc>
          <w:tcPr>
            <w:tcW w:w="1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i/>
          <w:color w:val="000000"/>
          <w:sz w:val="18"/>
        </w:rPr>
      </w:pPr>
      <w:r>
        <w:rPr>
          <w:rFonts w:ascii="Times New Roman;sans-serif" w:hAnsi="Times New Roman;sans-serif"/>
          <w:b/>
          <w:i/>
          <w:color w:val="000000"/>
          <w:sz w:val="18"/>
        </w:rPr>
        <w:t>Senior Credit Facility</w:t>
      </w:r>
    </w:p>
    <w:p>
      <w:pPr>
        <w:pStyle w:val="TextBody"/>
        <w:bidi w:val="0"/>
        <w:spacing w:lineRule="auto" w:line="288" w:before="0" w:after="120"/>
        <w:ind w:left="0" w:right="0" w:firstLine="720"/>
        <w:jc w:val="both"/>
        <w:rPr/>
      </w:pPr>
      <w:r>
        <w:rPr>
          <w:rFonts w:ascii="Times New Roman;sans-serif" w:hAnsi="Times New Roman;sans-serif"/>
          <w:b w:val="false"/>
          <w:color w:val="000000"/>
          <w:sz w:val="18"/>
          <w:shd w:fill="FFFFFF" w:val="clear"/>
        </w:rPr>
        <w:t xml:space="preserve">As of September 30, 2023, the Company’s senior unsecured credit facility (the “Credit Facility”) </w:t>
      </w:r>
      <w:r>
        <w:rPr>
          <w:rFonts w:ascii="Times New Roman;sans-serif" w:hAnsi="Times New Roman;sans-serif"/>
          <w:b w:val="false"/>
          <w:color w:val="000000"/>
          <w:sz w:val="18"/>
        </w:rPr>
        <w:t xml:space="preserve">had aggregate borrowing commitments totaling approximately </w:t>
      </w:r>
      <w:r>
        <w:rPr>
          <w:rFonts w:ascii="Times New Roman;sans-serif" w:hAnsi="Times New Roman;sans-serif"/>
          <w:b w:val="false"/>
          <w:color w:val="000000"/>
          <w:sz w:val="18"/>
          <w:shd w:fill="FFFFFF" w:val="clear"/>
        </w:rPr>
        <w:t>$2.25 billion</w:t>
      </w:r>
      <w:r>
        <w:rPr>
          <w:rFonts w:ascii="Times New Roman;sans-serif" w:hAnsi="Times New Roman;sans-serif"/>
          <w:b w:val="false"/>
          <w:color w:val="000000"/>
          <w:sz w:val="18"/>
        </w:rPr>
        <w:t>, which amount is composed of </w:t>
      </w:r>
      <w:r>
        <w:rPr>
          <w:rFonts w:ascii="Times New Roman;sans-serif" w:hAnsi="Times New Roman;sans-serif"/>
          <w:b w:val="false"/>
          <w:color w:val="000000"/>
          <w:sz w:val="18"/>
          <w:shd w:fill="FFFFFF" w:val="clear"/>
        </w:rPr>
        <w:t>$1.9 billion</w:t>
      </w:r>
      <w:r>
        <w:rPr>
          <w:color w:val="000000"/>
        </w:rPr>
        <w:t> </w:t>
      </w:r>
      <w:r>
        <w:rPr>
          <w:rFonts w:ascii="Times New Roman;sans-serif" w:hAnsi="Times New Roman;sans-serif"/>
          <w:b w:val="false"/>
          <w:color w:val="000000"/>
          <w:sz w:val="18"/>
        </w:rPr>
        <w:t xml:space="preserve">of revolving commitments and a term loan with an original principal amount of </w:t>
      </w:r>
      <w:r>
        <w:rPr>
          <w:rFonts w:ascii="Times New Roman;sans-serif" w:hAnsi="Times New Roman;sans-serif"/>
          <w:b w:val="false"/>
          <w:color w:val="000000"/>
          <w:sz w:val="18"/>
          <w:shd w:fill="FFFFFF" w:val="clear"/>
        </w:rPr>
        <w:t>$350 million</w:t>
      </w:r>
      <w:r>
        <w:rPr>
          <w:color w:val="000000"/>
        </w:rPr>
        <w:t xml:space="preserve"> </w:t>
      </w:r>
      <w:r>
        <w:rPr>
          <w:rFonts w:ascii="Times New Roman;sans-serif" w:hAnsi="Times New Roman;sans-serif"/>
          <w:b w:val="false"/>
          <w:color w:val="000000"/>
          <w:sz w:val="18"/>
        </w:rPr>
        <w:t xml:space="preserve">(the “Term Loan”). </w:t>
      </w:r>
      <w:r>
        <w:rPr>
          <w:rFonts w:ascii="Times New Roman;sans-serif" w:hAnsi="Times New Roman;sans-serif"/>
          <w:b w:val="false"/>
          <w:color w:val="000000"/>
          <w:sz w:val="18"/>
          <w:shd w:fill="FFFFFF" w:val="clear"/>
        </w:rPr>
        <w:t>The Term Loan is subject to amortization in quarterly principal installments of approximately $2.2 million, which quarterly installments increase to approximately $4.4 million in March 2025 until maturity. Quarterly principal installments on the Term Loan are subject to adjustment, if applicable, for certain prepayments. As of September 30, 2023 and December 31, 2022, the fair values of the Credit Facility and Term Loan, as estimated based on an income approach utilizing significant unobservable Level 3 inputs including discount rate assumptions, approximated their carrying values.</w:t>
      </w:r>
    </w:p>
    <w:p>
      <w:pPr>
        <w:pStyle w:val="TextBody"/>
        <w:bidi w:val="0"/>
        <w:spacing w:lineRule="auto" w:line="288" w:before="0" w:after="120"/>
        <w:ind w:left="0" w:right="0" w:firstLine="720"/>
        <w:jc w:val="both"/>
        <w:rPr/>
      </w:pPr>
      <w:r>
        <w:rPr>
          <w:rFonts w:ascii="Times New Roman;sans-serif" w:hAnsi="Times New Roman;sans-serif"/>
          <w:b w:val="false"/>
          <w:color w:val="000000"/>
          <w:sz w:val="18"/>
          <w:shd w:fill="FFFFFF" w:val="clear"/>
        </w:rPr>
        <w:t xml:space="preserve">Revolving loans </w:t>
      </w:r>
      <w:r>
        <w:rPr>
          <w:rFonts w:ascii="Times New Roman;sans-serif" w:hAnsi="Times New Roman;sans-serif"/>
          <w:b w:val="false"/>
          <w:color w:val="000000"/>
          <w:sz w:val="18"/>
        </w:rPr>
        <w:t>accrued interest at weighted average rates of approximately 7.05% and 5.82% per annum a</w:t>
      </w:r>
      <w:r>
        <w:rPr>
          <w:rFonts w:ascii="Times New Roman;sans-serif" w:hAnsi="Times New Roman;sans-serif"/>
          <w:b w:val="false"/>
          <w:color w:val="000000"/>
          <w:sz w:val="18"/>
          <w:shd w:fill="FFFFFF" w:val="clear"/>
        </w:rPr>
        <w:t>s of September 30, 2023 and December 31, 2022</w:t>
      </w:r>
      <w:r>
        <w:rPr>
          <w:rFonts w:ascii="Times New Roman;sans-serif" w:hAnsi="Times New Roman;sans-serif"/>
          <w:b w:val="false"/>
          <w:color w:val="000000"/>
          <w:sz w:val="18"/>
        </w:rPr>
        <w:t>, respectively. The Term Loan accrued interest at 7.04% and 5.80% as of September 30, 2023 and December 31, 2022, respectively. Letters of credit of approximately $65.0 million and $143.1 million were issued as of September 30, 2023 and December 31, 2022, respectively. As of September 30, 2023 and December 31, 2022, letter of credit fees accrued at 0.6875% and 0.5625% per annum, respectively, for performance standby letters of credit, and for financial standby letters of credit, accrued at 1.625% and 1.375% per annum, respectively. Outstanding letters of credit mature at various dates and most have automatic renewal provisions, subject to prior notice of cancellation. As of September 30, 2023 and December 31, 2022, availability for revolving loans totaled $945.0 million and $860.9 million, respectively, or up to $585.0 million and $506.9 million, respectively, for new letters of credit. T</w:t>
      </w:r>
      <w:r>
        <w:rPr>
          <w:rFonts w:ascii="Times New Roman;sans-serif" w:hAnsi="Times New Roman;sans-serif"/>
          <w:b w:val="false"/>
          <w:color w:val="000000"/>
          <w:sz w:val="18"/>
          <w:shd w:fill="FFFFFF" w:val="clear"/>
        </w:rPr>
        <w:t xml:space="preserve">here were </w:t>
      </w:r>
      <w:r>
        <w:rPr>
          <w:rFonts w:ascii="Times New Roman;sans-serif" w:hAnsi="Times New Roman;sans-serif"/>
          <w:b w:val="false"/>
          <w:color w:val="000000"/>
          <w:sz w:val="18"/>
        </w:rPr>
        <w:t xml:space="preserve">no borrowings denominated in foreign currencies as of either September 30, 2023 or </w:t>
      </w:r>
      <w:r>
        <w:rPr>
          <w:rFonts w:ascii="Times New Roman;sans-serif" w:hAnsi="Times New Roman;sans-serif"/>
          <w:b w:val="false"/>
          <w:color w:val="000000"/>
          <w:sz w:val="18"/>
          <w:shd w:fill="FFFFFF" w:val="clear"/>
        </w:rPr>
        <w:t xml:space="preserve">December 31, 2022. </w:t>
      </w:r>
      <w:r>
        <w:rPr>
          <w:rFonts w:ascii="Times New Roman;sans-serif" w:hAnsi="Times New Roman;sans-serif"/>
          <w:b w:val="false"/>
          <w:color w:val="000000"/>
          <w:sz w:val="18"/>
        </w:rPr>
        <w:t>Revolving loan borrowing capacity included $300.0 million of availability in either Canadian dollars or Mexican pesos as of both September 30, 2023 and December 31, 2022. The unused facility fee as of September 30, 2023 and December 31, 2022 accrued at 0.225% and 0.200% per annum, respectively.</w:t>
      </w:r>
    </w:p>
    <w:p>
      <w:pPr>
        <w:pStyle w:val="TextBody"/>
        <w:bidi w:val="0"/>
        <w:spacing w:lineRule="auto" w:line="288" w:before="0" w:after="120"/>
        <w:jc w:val="both"/>
        <w:rPr>
          <w:rFonts w:ascii="Times New Roman;sans-serif" w:hAnsi="Times New Roman;sans-serif"/>
          <w:b/>
          <w:i/>
          <w:color w:val="000000"/>
          <w:sz w:val="18"/>
        </w:rPr>
      </w:pPr>
      <w:r>
        <w:rPr>
          <w:rFonts w:ascii="Times New Roman;sans-serif" w:hAnsi="Times New Roman;sans-serif"/>
          <w:b/>
          <w:i/>
          <w:color w:val="000000"/>
          <w:sz w:val="18"/>
        </w:rPr>
        <w:t>Other Credit Facilities</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has other credit facilities that support the working capital requirements of its foreign operations and certain letter of credit issuances. There were no outstanding borrowings under the Company’s other credit facilities as of either September 30, 2023 or December 31, 2022. Additionally, the Company has a separate credit facility, under which it may issue performance standby letters of credit.  As of September 30, 2023 and December 31, 2022, letters of credit issued under this facility totaled $17.2 million and $23.6 million, respectively, which accrued fees at 0.90% and 0.75% per annum, respectively.</w:t>
      </w:r>
    </w:p>
    <w:p>
      <w:pPr>
        <w:pStyle w:val="TextBody"/>
        <w:bidi w:val="0"/>
        <w:spacing w:lineRule="auto" w:line="288" w:before="0" w:after="120"/>
        <w:jc w:val="both"/>
        <w:rPr>
          <w:rFonts w:ascii="Times New Roman;sans-serif" w:hAnsi="Times New Roman;sans-serif"/>
          <w:b/>
          <w:i/>
          <w:color w:val="000000"/>
          <w:sz w:val="18"/>
        </w:rPr>
      </w:pPr>
      <w:r>
        <w:rPr>
          <w:rFonts w:ascii="Times New Roman;sans-serif" w:hAnsi="Times New Roman;sans-serif"/>
          <w:b/>
          <w:i/>
          <w:color w:val="000000"/>
          <w:sz w:val="18"/>
        </w:rPr>
        <w:t>2022 Term Loan Facility</w:t>
      </w:r>
    </w:p>
    <w:p>
      <w:pPr>
        <w:pStyle w:val="TextBody"/>
        <w:bidi w:val="0"/>
        <w:spacing w:lineRule="auto" w:line="288" w:before="0" w:after="120"/>
        <w:ind w:left="0" w:right="0" w:firstLine="720"/>
        <w:jc w:val="both"/>
        <w:rPr/>
      </w:pPr>
      <w:r>
        <w:rPr>
          <w:rFonts w:ascii="Times New Roman;sans-serif" w:hAnsi="Times New Roman;sans-serif"/>
          <w:b w:val="false"/>
          <w:color w:val="000000"/>
          <w:sz w:val="18"/>
          <w:shd w:fill="FFFFFF" w:val="clear"/>
        </w:rPr>
        <w:t>As of September 30, 2023</w:t>
      </w:r>
      <w:r>
        <w:rPr>
          <w:rFonts w:ascii="Times New Roman;sans-serif" w:hAnsi="Times New Roman;sans-serif"/>
          <w:b w:val="false"/>
          <w:color w:val="000000"/>
          <w:sz w:val="18"/>
        </w:rPr>
        <w:t xml:space="preserve">, the Company has $700.0 million of unsecured term loans entered into in connection with the acquisition of IEA, composed of a three-year term loan of $400.0 million in principal amount (the “Three-Year Tranche”) maturing on October 7, 2025, and a five-year term loan of $300.0 million in principal amount (the “Five-Year Tranche”) maturing on October 7, 2027 (together, the “2022 Term Loan Facility”). The Three-Year Tranche is not subject to amortization. The Five-Year Tranche is subject to amortization in quarterly principal installments of approximately $3.75 million commencing on March 31, 2024, which installment will increase to $7.5 million on March 31, 2026 until maturity, subject to the application of certain prepayments. As of September 30, 2023, the Three- and Five-Year Tranches accrued interest at rates of 6.809% and 6.934%, respectively, and as of December 31, 2022, the Three- and Five-Year Tranches accrued interest at rates of 5.692% and 5.817%, respectively. </w:t>
      </w:r>
      <w:r>
        <w:rPr>
          <w:rFonts w:ascii="Times New Roman;sans-serif" w:hAnsi="Times New Roman;sans-serif"/>
          <w:b w:val="false"/>
          <w:color w:val="000000"/>
          <w:sz w:val="18"/>
          <w:shd w:fill="FFFFFF" w:val="clear"/>
        </w:rPr>
        <w:t>As of September 30, 2023 and December 31, 2022</w:t>
      </w:r>
      <w:r>
        <w:rPr>
          <w:rFonts w:ascii="Times New Roman;sans-serif" w:hAnsi="Times New Roman;sans-serif"/>
          <w:b w:val="false"/>
          <w:color w:val="000000"/>
          <w:sz w:val="18"/>
        </w:rPr>
        <w:t>, the fair value of the 2022 Term Loan Facility, as estimated based on an income approach, utilizing significant unobservable Level 3 inputs including discount rate assumptions, approximated its carrying value.</w:t>
      </w:r>
    </w:p>
    <w:p>
      <w:pPr>
        <w:pStyle w:val="TextBody"/>
        <w:bidi w:val="0"/>
        <w:spacing w:lineRule="auto" w:line="288" w:before="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 xml:space="preserve">Debt Covenants </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MasTec was in compliance with the provisions and covenants of its outstanding debt instruments as of both September 30, 2023 and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ind w:left="0" w:right="0" w:firstLine="360"/>
        <w:jc w:val="left"/>
        <w:rPr>
          <w:rFonts w:ascii="Times New Roman;sans-serif" w:hAnsi="Times New Roman;sans-serif"/>
          <w:b/>
          <w:i/>
          <w:color w:val="000000"/>
          <w:sz w:val="18"/>
        </w:rPr>
      </w:pPr>
      <w:r>
        <w:rPr>
          <w:rFonts w:ascii="Times New Roman;sans-serif" w:hAnsi="Times New Roman;sans-serif"/>
          <w:b/>
          <w:i/>
          <w:color w:val="000000"/>
          <w:sz w:val="18"/>
        </w:rPr>
        <w:t>Additional Information</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of September 30, 2023 and December 31, 2022, accrued interest payable, which is recorded within other accrued expenses in the consolidated balance sheets, totaled $14.0 million and $24.8 million, respectively. For additional information pertaining to the Company’s debt instruments, see Note 7 - Debt in the Company’s 2022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8 – Lease Obligations</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the ordinary course of business, the Company enters into agreements that provide financing for machinery and equipment and for other of its facility, vehicle and equipment needs, including certain related party leases. As of September 30, 2023, the Company’s leases have remaining lease terms of up to 15 years. Lease agreements may contain renewal clauses, which, if elected, generally extend the term of the lease for 1 to 5 years for both equipment and facility leases. Certain lease agreements may also contain options to purchase the leased property and/or options to terminate the lease. In addition, lease agreements may include periodic adjustments to payment amounts for inflation or other variables, or may require payments for taxes, insurance, maintenance or other expenses, which are generally referred to as non-lease components. The Company’s lease agreements do not contain significant residual value guarantees or material restrictive covenants.</w:t>
      </w:r>
    </w:p>
    <w:p>
      <w:pPr>
        <w:pStyle w:val="TextBody"/>
        <w:bidi w:val="0"/>
        <w:spacing w:lineRule="auto" w:line="288" w:before="120" w:after="283"/>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Finance Leases</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gross amount of assets held under finance leases as of September 30, 2023 and December 31, 2022 totaled $690.1 million and $720.1 million, respectively. Assets held under finance leases, net of accumulated depreciation, totaled $483.5 million and $535.3 million as of September 30, 2023 and December 31, 2022, respectively. Depreciation expense associated with finance leases totaled $26.8 million and $22.8 million for the three month periods ended September 30, 2023 and 2022, respectively, and totaled $79.3 million and $63.2 million for the nine month periods ended September 30, 2023 and 2022, respectively.</w:t>
      </w:r>
    </w:p>
    <w:p>
      <w:pPr>
        <w:pStyle w:val="TextBody"/>
        <w:bidi w:val="0"/>
        <w:spacing w:lineRule="auto" w:line="288" w:before="120" w:after="283"/>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Operating Leases</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Operating lease additions for the three month periods ended September 30, 2023 and 2022 totaled $75.1 million and $12.7 million, respectively, and for the nine month periods ended September 30, 2023 and 2022, totaled $198.6 million and $58.1 million, respectively. For the three month periods ended September 30, 2023 and 2022, rent expense for leases that have terms in excess of one year totaled approximately $44.0 million and $30.6 million, respectively, of which $3.9 million and $2.3 million, respectively, represented variable lease costs. For the nine month periods ended September 30, 2023 and 2022, rent expense for such leases totaled approximately $116.7 million and $98.5 million, respectively, of which $11.5 million and $7.8 million, respectively, represented variable lease costs. The Company also incurred rent expense for leases with terms of one year or less totaling approximately $169.9 million and $98.8 million for the three month periods ended September 30, 2023 and 2022, respectively, and totaling approximately $411.7 million and $258.1 million for the nine month periods ended September 30, 2023 and 2022, respectively. Rent expense for operating leases is generally consistent with the amount of the related payments, which payments are included within operating activities in the consolidated statements of cash flows.</w:t>
      </w:r>
    </w:p>
    <w:p>
      <w:pPr>
        <w:pStyle w:val="TextBody"/>
        <w:bidi w:val="0"/>
        <w:spacing w:lineRule="auto" w:line="288" w:before="120" w:after="283"/>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Additional Lease Information</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Future minimum lease commitments as of September 30, 2023 were as follows (in millions):</w:t>
      </w:r>
    </w:p>
    <w:tbl>
      <w:tblPr>
        <w:tblW w:w="6004" w:type="dxa"/>
        <w:jc w:val="left"/>
        <w:tblInd w:w="0" w:type="dxa"/>
        <w:tblLayout w:type="fixed"/>
        <w:tblCellMar>
          <w:top w:w="28" w:type="dxa"/>
          <w:left w:w="28" w:type="dxa"/>
          <w:bottom w:w="28" w:type="dxa"/>
          <w:right w:w="28" w:type="dxa"/>
        </w:tblCellMar>
      </w:tblPr>
      <w:tblGrid>
        <w:gridCol w:w="1407"/>
        <w:gridCol w:w="1233"/>
        <w:gridCol w:w="1245"/>
        <w:gridCol w:w="196"/>
        <w:gridCol w:w="556"/>
        <w:gridCol w:w="109"/>
        <w:gridCol w:w="109"/>
        <w:gridCol w:w="109"/>
        <w:gridCol w:w="109"/>
        <w:gridCol w:w="201"/>
        <w:gridCol w:w="571"/>
        <w:gridCol w:w="159"/>
      </w:tblGrid>
      <w:tr>
        <w:trPr/>
        <w:tc>
          <w:tcPr>
            <w:tcW w:w="140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18"/>
              </w:rPr>
              <w:t>Finance</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w:t>
              <w:br/>
              <w:t>Leases</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 remaining three months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Total minimum lease payments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Less amounts representing interest</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obligations, net of interest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Long-term portion of lease obligations, net of interest</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279.3 </w:t>
            </w:r>
          </w:p>
        </w:tc>
        <w:tc>
          <w:tcPr>
            <w:tcW w:w="1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of September 30, 2023, finance leases had a weighted average remaining lease term of 2.8 years, with a weighted average discount rate of 4.5%, and non-cancelable operating leases had a weighted average remaining lease term of 3.9 years, with a weighted average discount rate of 4.6%.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 xml:space="preserve">Note 9 – Stock-Based Compensation and Other Employee Benefit Plans </w:t>
      </w:r>
    </w:p>
    <w:p>
      <w:pPr>
        <w:pStyle w:val="TextBody"/>
        <w:bidi w:val="0"/>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has stock-based compensation plans, under which shares of the Company’s common stock are reserved for issuance. Under all stock-based compensation plans in effect as of September 30, 2023, there were approximately 2,752,000 shares available for future grant. Non-cash stock-based compensation expense under all plans totaled $7.2 million and $5.7 million for the three month periods ended September 30, 2023 and 2022, respectively, and totaled $24.3 million and $18.9 million for the nine month periods ended September 30, 2023 and 2022,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Income tax benefits associated with stock-based compensation arrangements totaled $1.1 million and $0.9 million for the three month periods ended September 30, 2023 and 2022, respectively. For the nine month periods ended September 30, 2023 and 2022, such income tax benefits totaled $12.9 million and $4.3 million, respectively, including net tax benefits related to the vesting of share-based payment awards totaling $8.8 million and $0.9 million, respectively.</w:t>
      </w:r>
    </w:p>
    <w:p>
      <w:pPr>
        <w:pStyle w:val="TextBody"/>
        <w:bidi w:val="0"/>
        <w:spacing w:lineRule="auto" w:line="288" w:before="120" w:after="283"/>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Restricted Shares</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MasTec grants restricted stock awards and restricted stock units (together, “restricted shares”) to eligible participants, which are valued based on the closing market share price of MasTec common stock (the “market price”) on the date of grant. During the restriction period, holders of restricted stock awards are entitled to vote the shares. As of September 30, 2023, total unearned compensation related to restricted shares was approximately $49.1 million, which amount is expected to be recognized over a weighted average period of approximately 1.9 years. The fair value of restricted shares that vested, which is based on the market price on the date of vesting, totaled approximately $0.3 million for both the three month periods ended September 30, 2023 and 2022, and totaled approximately $78.3 million and $19.5 million for the nine month periods ended September 30, 2023 and 2022, respectively.</w:t>
      </w:r>
    </w:p>
    <w:tbl>
      <w:tblPr>
        <w:tblW w:w="9713" w:type="dxa"/>
        <w:jc w:val="left"/>
        <w:tblInd w:w="0" w:type="dxa"/>
        <w:tblLayout w:type="fixed"/>
        <w:tblCellMar>
          <w:top w:w="28" w:type="dxa"/>
          <w:left w:w="28" w:type="dxa"/>
          <w:bottom w:w="28" w:type="dxa"/>
          <w:right w:w="28" w:type="dxa"/>
        </w:tblCellMar>
      </w:tblPr>
      <w:tblGrid>
        <w:gridCol w:w="1460"/>
        <w:gridCol w:w="1285"/>
        <w:gridCol w:w="1290"/>
        <w:gridCol w:w="435"/>
        <w:gridCol w:w="436"/>
        <w:gridCol w:w="311"/>
        <w:gridCol w:w="109"/>
        <w:gridCol w:w="109"/>
        <w:gridCol w:w="109"/>
        <w:gridCol w:w="902"/>
        <w:gridCol w:w="2559"/>
        <w:gridCol w:w="708"/>
      </w:tblGrid>
      <w:tr>
        <w:trPr/>
        <w:tc>
          <w:tcPr>
            <w:tcW w:w="146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Activity, restricted shares: </w:t>
            </w:r>
            <w:r>
              <w:rPr>
                <w:rFonts w:ascii="Times New Roman;sans-serif" w:hAnsi="Times New Roman;sans-serif"/>
                <w:b/>
                <w:color w:val="000000"/>
                <w:sz w:val="12"/>
              </w:rPr>
              <w:t>(a)</w:t>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Restricted </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Per Share Weighted Average Grant Date Fair Value </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Non-vested restricted shares, as of December 31, 2022</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2,049,280 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52.33 </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204,215 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95.99 </w:t>
            </w:r>
          </w:p>
        </w:tc>
        <w:tc>
          <w:tcPr>
            <w:tcW w:w="7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(855,196)</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27.89 </w:t>
            </w:r>
          </w:p>
        </w:tc>
        <w:tc>
          <w:tcPr>
            <w:tcW w:w="7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Canceled/forfeited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(67,959)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46.86 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Non-vested restricted shares, as of September 30, 2023</w:t>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1,330,340 </w:t>
            </w:r>
          </w:p>
        </w:tc>
        <w:tc>
          <w:tcPr>
            <w:tcW w:w="3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75.03 </w:t>
            </w:r>
          </w:p>
        </w:tc>
        <w:tc>
          <w:tcPr>
            <w:tcW w:w="7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(a)    Includes 1,000 and 2,150 restricted stock units as of September 30, 2023 and December 31, 2022, respectively.</w:t>
      </w:r>
    </w:p>
    <w:p>
      <w:pPr>
        <w:pStyle w:val="TextBody"/>
        <w:bidi w:val="0"/>
        <w:spacing w:lineRule="auto" w:line="288" w:before="240" w:after="283"/>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Employee Stock Purchase Plans</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has certain employee stock purchase plans (collectively, “ESPPs”), under which shares of the Company’s common stock are available for purchase by eligible participants. Under the ESPPs, eligible participants are permitted to purchase MasTec, Inc. common stock at 85% of the fair market value of the shares on the date of purchase, which occurs on the last trading day of each two week offering period. At the Company’s discretion, share purchases may be satisfied by delivering either newly issued common shares, or common shares reacquired on the open market or in privately negotiated transactions.</w:t>
      </w:r>
    </w:p>
    <w:p>
      <w:pPr>
        <w:pStyle w:val="TextBody"/>
        <w:bidi w:val="0"/>
        <w:spacing w:lineRule="auto" w:line="288" w:before="120" w:after="283"/>
        <w:ind w:left="0" w:right="0" w:firstLine="720"/>
        <w:jc w:val="both"/>
        <w:rPr/>
      </w:pPr>
      <w:r>
        <w:rPr>
          <w:rFonts w:ascii="Times New Roman;sans-serif" w:hAnsi="Times New Roman;sans-serif"/>
          <w:b w:val="false"/>
          <w:color w:val="000000"/>
          <w:sz w:val="18"/>
        </w:rPr>
        <w:t>For the three month periods ended September 30, 2023 and 2022, 22,824 shares and 25,495 share</w:t>
      </w:r>
      <w:r>
        <w:rPr>
          <w:rFonts w:ascii="Times New Roman;sans-serif" w:hAnsi="Times New Roman;sans-serif"/>
          <w:b w:val="false"/>
          <w:color w:val="000000"/>
          <w:sz w:val="18"/>
          <w:shd w:fill="FFFFFF" w:val="clear"/>
        </w:rPr>
        <w:t xml:space="preserve">s, respectively, were purchased by participants under the Company’s ESPPs for $1.9 million and </w:t>
      </w:r>
      <w:r>
        <w:rPr>
          <w:rFonts w:ascii="Times New Roman;sans-serif" w:hAnsi="Times New Roman;sans-serif"/>
          <w:b w:val="false"/>
          <w:color w:val="000000"/>
          <w:sz w:val="18"/>
        </w:rPr>
        <w:t>$1.7 million</w:t>
      </w:r>
      <w:r>
        <w:rPr>
          <w:rFonts w:ascii="Times New Roman;sans-serif" w:hAnsi="Times New Roman;sans-serif"/>
          <w:b w:val="false"/>
          <w:color w:val="000000"/>
          <w:sz w:val="18"/>
          <w:shd w:fill="FFFFFF" w:val="clear"/>
        </w:rPr>
        <w:t xml:space="preserve">, respectively, and for the </w:t>
      </w:r>
      <w:r>
        <w:rPr>
          <w:rFonts w:ascii="Times New Roman;sans-serif" w:hAnsi="Times New Roman;sans-serif"/>
          <w:b w:val="false"/>
          <w:color w:val="000000"/>
          <w:sz w:val="18"/>
        </w:rPr>
        <w:t xml:space="preserve">nine month periods ended September 30, 2023 and 2022, 69,475 shares and 82,121 shares, respectively, were purchased for </w:t>
      </w:r>
      <w:r>
        <w:rPr>
          <w:rFonts w:ascii="Times New Roman;sans-serif" w:hAnsi="Times New Roman;sans-serif"/>
          <w:b w:val="false"/>
          <w:color w:val="000000"/>
          <w:sz w:val="18"/>
          <w:shd w:fill="FFFFFF" w:val="clear"/>
        </w:rPr>
        <w:t>$5.7 million</w:t>
      </w:r>
      <w:r>
        <w:rPr>
          <w:color w:val="000000"/>
        </w:rPr>
        <w:t xml:space="preserve"> </w:t>
      </w:r>
      <w:r>
        <w:rPr>
          <w:rFonts w:ascii="Times New Roman;sans-serif" w:hAnsi="Times New Roman;sans-serif"/>
          <w:b w:val="false"/>
          <w:color w:val="000000"/>
          <w:sz w:val="18"/>
        </w:rPr>
        <w:t xml:space="preserve">and $5.3 million, respectively. Shares purchased by participants under the Company’s ESPPs in each of the three and nine month periods ended September 30, 2023 and 2022 were reacquired by the Company on the open market. </w:t>
      </w:r>
      <w:r>
        <w:rPr>
          <w:rFonts w:ascii="Times New Roman;sans-serif" w:hAnsi="Times New Roman;sans-serif"/>
          <w:b w:val="false"/>
          <w:color w:val="000000"/>
          <w:sz w:val="18"/>
          <w:shd w:fill="FFFFFF" w:val="clear"/>
        </w:rPr>
        <w:t xml:space="preserve">Compensation expense associated with the Company’s ESPPs totaled approximately $0.3 million for both </w:t>
      </w:r>
      <w:r>
        <w:rPr>
          <w:rFonts w:ascii="Times New Roman;sans-serif" w:hAnsi="Times New Roman;sans-serif"/>
          <w:b w:val="false"/>
          <w:color w:val="000000"/>
          <w:sz w:val="18"/>
        </w:rPr>
        <w:t>the three month periods ended September 30, 2023 and 2022, and totaled approximately</w:t>
      </w:r>
      <w:r>
        <w:rPr>
          <w:color w:val="000000"/>
          <w:shd w:fill="FFFFFF" w:val="clear"/>
        </w:rPr>
        <w:t xml:space="preserve"> </w:t>
      </w:r>
      <w:r>
        <w:rPr>
          <w:rFonts w:ascii="Times New Roman;sans-serif" w:hAnsi="Times New Roman;sans-serif"/>
          <w:b w:val="false"/>
          <w:color w:val="000000"/>
          <w:sz w:val="18"/>
          <w:shd w:fill="FFFFFF" w:val="clear"/>
        </w:rPr>
        <w:t xml:space="preserve">$1.0 million for both </w:t>
      </w:r>
      <w:r>
        <w:rPr>
          <w:rFonts w:ascii="Times New Roman;sans-serif" w:hAnsi="Times New Roman;sans-serif"/>
          <w:b w:val="false"/>
          <w:color w:val="000000"/>
          <w:sz w:val="18"/>
        </w:rPr>
        <w:t>the nine month periods ended September 30,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10 – Other Retirement Plans</w:t>
      </w:r>
    </w:p>
    <w:p>
      <w:pPr>
        <w:pStyle w:val="TextBody"/>
        <w:bidi w:val="0"/>
        <w:spacing w:lineRule="auto" w:line="288" w:before="120" w:after="283"/>
        <w:ind w:left="0" w:right="0" w:firstLine="720"/>
        <w:jc w:val="both"/>
        <w:rPr/>
      </w:pPr>
      <w:r>
        <w:rPr>
          <w:rFonts w:ascii="Times New Roman;sans-serif" w:hAnsi="Times New Roman;sans-serif"/>
          <w:b/>
          <w:i/>
          <w:color w:val="000000"/>
          <w:sz w:val="18"/>
        </w:rPr>
        <w:t xml:space="preserve">Multiemployer Plans. </w:t>
      </w:r>
      <w:r>
        <w:rPr>
          <w:rFonts w:ascii="Times New Roman;sans-serif" w:hAnsi="Times New Roman;sans-serif"/>
          <w:b w:val="false"/>
          <w:color w:val="000000"/>
          <w:sz w:val="18"/>
        </w:rPr>
        <w:t>Certain of MasTec’s subsidiaries contribute amounts to multiemployer pension and other multiemployer benefit plans and trusts (“MEPPs”). Contributions are generally based on fixed amounts per hour per employee for employees covered under these plans. Multiemployer plan contribution rates are determined annually and are assessed on a “pay-as-you-go” basis based on union employee payrolls. Union payrolls cannot be determined for future periods because the number of union employees employed at a given time, and the plans in which they participate, vary depending upon the location and number of ongoing projects and the need for union resources in connection with those projects. Total contributions to multiemployer plans and the related number of employees covered by these plans for the periods indicated were as follows:</w:t>
      </w:r>
    </w:p>
    <w:tbl>
      <w:tblPr>
        <w:tblW w:w="10054" w:type="dxa"/>
        <w:jc w:val="left"/>
        <w:tblInd w:w="0" w:type="dxa"/>
        <w:tblLayout w:type="fixed"/>
        <w:tblCellMar>
          <w:top w:w="28" w:type="dxa"/>
          <w:left w:w="28" w:type="dxa"/>
          <w:bottom w:w="28" w:type="dxa"/>
          <w:right w:w="28" w:type="dxa"/>
        </w:tblCellMar>
      </w:tblPr>
      <w:tblGrid>
        <w:gridCol w:w="1290"/>
        <w:gridCol w:w="1136"/>
        <w:gridCol w:w="1143"/>
        <w:gridCol w:w="292"/>
        <w:gridCol w:w="264"/>
        <w:gridCol w:w="180"/>
        <w:gridCol w:w="180"/>
        <w:gridCol w:w="180"/>
        <w:gridCol w:w="180"/>
        <w:gridCol w:w="323"/>
        <w:gridCol w:w="323"/>
        <w:gridCol w:w="180"/>
        <w:gridCol w:w="109"/>
        <w:gridCol w:w="109"/>
        <w:gridCol w:w="109"/>
        <w:gridCol w:w="196"/>
        <w:gridCol w:w="466"/>
        <w:gridCol w:w="109"/>
        <w:gridCol w:w="109"/>
        <w:gridCol w:w="109"/>
        <w:gridCol w:w="109"/>
        <w:gridCol w:w="437"/>
        <w:gridCol w:w="1043"/>
        <w:gridCol w:w="245"/>
        <w:gridCol w:w="109"/>
        <w:gridCol w:w="109"/>
        <w:gridCol w:w="109"/>
        <w:gridCol w:w="196"/>
        <w:gridCol w:w="556"/>
        <w:gridCol w:w="154"/>
      </w:tblGrid>
      <w:tr>
        <w:trPr/>
        <w:tc>
          <w:tcPr>
            <w:tcW w:w="129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Multiemployer Plans</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Covered Employees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Contributions </w:t>
            </w:r>
            <w:r>
              <w:rPr>
                <w:rFonts w:ascii="Times New Roman;sans-serif" w:hAnsi="Times New Roman;sans-serif"/>
                <w:b/>
                <w:color w:val="000000"/>
                <w:sz w:val="17"/>
              </w:rPr>
              <w:t>(in millions)</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Low</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 Multiemployer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For the Three Months Ended September 30: </w:t>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For the Nine Months Ended September 30: </w:t>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fluctuations in the number of employees covered under multiemployer plans and associated contributions in the table above related primarily to the timing of activity for the Company’s union resource-based projects, as well as the effects of the Company’s recent acquisitions. For the three and nine month periods ended September 30, 2023, multiemployer plan activity was driven primarily by project work within the Company’s Power Delivery and Oil and Gas operations, and, to a lesser extent, by acquisition-related project work within the Company’s Clean Energy and Infrastructure operations, whereas for the three and nine month periods ended September 30, 2022, activity was driven primarily by acquisition-related project work within the Company’s Power Delivery operations, and, to a lesser extent, project work within its Oil and Gas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11 – Equity</w:t>
      </w:r>
    </w:p>
    <w:p>
      <w:pPr>
        <w:pStyle w:val="TextBody"/>
        <w:bidi w:val="0"/>
        <w:spacing w:lineRule="auto" w:line="288" w:before="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Share Activity</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Company’s share repurchase programs provide for the repurchase, from time to time, of MasTec common shares in open market transactions or in privately negotiated transactions, in each case, in accordance with applicable securities laws. The Company’s share repurchase programs, under which the Company undertakes share repurchases for strategic purposes, including when management believes that the market price of the Company’s stock is undervalued, such repurchases will enhance long-term shareholder value, the Company has adequate liquidity and such repurchases are appropriate uses of capital, do not have an expiration date and may be modified or suspended at any time at the Company’s discretion. There were no share repurchases under the Company’s share repurchase programs in either of the three or nine month periods ended September 30, 2023. For the three month period ended September 30, 2022, there were no share repurchases under the Company’s share repurchase programs, and for the nine month period ended September 30, 2022, the Company repurchased 1.1 million shares of its common stock for an aggregate purchase price of approximately $81.3 million. Of the total repurchased shares, 0.1 million shares were repurchased in the first quarter of 2022 for $8.6 million under the Company’s December 2018 $100 million share repurchase program, which completed the program. The remaining 1.0 million shares were repurchased for $72.7 million under the Company’s March 2020 $150 million share repurchase program. As of September 30, 2023, $77.3 million was available for future share repurchases under the Company’s March 2020 share repurchase program.</w:t>
      </w:r>
    </w:p>
    <w:p>
      <w:pPr>
        <w:pStyle w:val="TextBody"/>
        <w:bidi w:val="0"/>
        <w:spacing w:lineRule="auto" w:line="288" w:before="0" w:after="120"/>
        <w:ind w:left="0" w:right="0" w:firstLine="360"/>
        <w:jc w:val="left"/>
        <w:rPr>
          <w:rFonts w:ascii="Times New Roman;sans-serif" w:hAnsi="Times New Roman;sans-serif"/>
          <w:b/>
          <w:i/>
          <w:color w:val="000000"/>
          <w:sz w:val="18"/>
        </w:rPr>
      </w:pPr>
      <w:r>
        <w:rPr>
          <w:rFonts w:ascii="Times New Roman;sans-serif" w:hAnsi="Times New Roman;sans-serif"/>
          <w:b/>
          <w:i/>
          <w:color w:val="000000"/>
          <w:sz w:val="18"/>
        </w:rPr>
        <w:t>Accumulated Other Comprehensive Income (Loss)</w:t>
      </w:r>
    </w:p>
    <w:p>
      <w:pPr>
        <w:pStyle w:val="TextBody"/>
        <w:bidi w:val="0"/>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Unrealized foreign currency translation activity, net, in each of the three and nine month periods ended September 30, 2023 and 2022 relates primarily to the Company’s operations in Canada and Mexico. Unrealized investment activity in each of the three and nine month periods ended September 30, 2023 and 2022 relates to unrealized fair value gains associated with the Waha JV interest rate swaps. See Note 4 - Fair Value of Financial Instruments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12 – Income Taxes</w:t>
      </w:r>
    </w:p>
    <w:p>
      <w:pPr>
        <w:pStyle w:val="TextBody"/>
        <w:bidi w:val="0"/>
        <w:spacing w:lineRule="auto" w:line="288" w:before="0" w:after="0"/>
        <w:ind w:left="0" w:right="0" w:firstLine="720"/>
        <w:jc w:val="both"/>
        <w:rPr/>
      </w:pPr>
      <w:r>
        <w:rPr>
          <w:rFonts w:ascii="Times New Roman;sans-serif" w:hAnsi="Times New Roman;sans-serif"/>
          <w:b w:val="false"/>
          <w:color w:val="000000"/>
          <w:sz w:val="18"/>
        </w:rPr>
        <w:t xml:space="preserve">In determining the quarterly provision for income taxes, management uses an estimated annual effective tax rate based on forecasted annual pre-tax income, permanent tax differences, statutory tax rates and tax planning opportunities in the various jurisdictions in which the Company operates. The effect of significant discrete items is separately recognized in the quarter(s) in which they occur. For the three month periods ended September 30, 2023 and 2022, the Company’s consolidated effective tax rates were an expense of 33.1% and 18.4%, respectively, and for the nine month periods ended September 30, 2023 and 2022 were benefits of 41.4% and 0.2%, respectively. The Company’s effective tax rate for the nine month period ended September 30, 2023 included the effects of a net tax benefit of approximately $8.8 million related to share-based payment awards and a benefit of approximately $6 million related to adjustments from finalization of the Company’s 2022 tax returns, offset, in part, by an increase in non-deductible expenses. For the nine month period ended September 30, 2022, the Company’s effective tax rate included </w:t>
      </w:r>
      <w:r>
        <w:rPr>
          <w:rFonts w:ascii="Times New Roman;sans-serif" w:hAnsi="Times New Roman;sans-serif"/>
          <w:b w:val="false"/>
          <w:color w:val="000000"/>
          <w:sz w:val="18"/>
          <w:shd w:fill="FFFFFF" w:val="clear"/>
        </w:rPr>
        <w:t>a benefit of approximately $15 million</w:t>
      </w:r>
      <w:r>
        <w:rPr>
          <w:color w:val="000000"/>
        </w:rPr>
        <w:t xml:space="preserve"> </w:t>
      </w:r>
      <w:r>
        <w:rPr>
          <w:rFonts w:ascii="Times New Roman;sans-serif" w:hAnsi="Times New Roman;sans-serif"/>
          <w:b w:val="false"/>
          <w:color w:val="000000"/>
          <w:sz w:val="18"/>
        </w:rPr>
        <w:t>related to adjustments resulting from finalization of the Company’s 2021 tax returns and a net tax benefit of approximately $0.9 million related to the vesting of share-based payment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13 – Segments and Related Information</w:t>
      </w:r>
    </w:p>
    <w:p>
      <w:pPr>
        <w:pStyle w:val="TextBody"/>
        <w:bidi w:val="0"/>
        <w:spacing w:lineRule="auto" w:line="288" w:before="120" w:after="283"/>
        <w:jc w:val="both"/>
        <w:rPr>
          <w:rFonts w:ascii="Times New Roman;sans-serif" w:hAnsi="Times New Roman;sans-serif"/>
          <w:b/>
          <w:i/>
          <w:color w:val="000000"/>
          <w:sz w:val="18"/>
        </w:rPr>
      </w:pPr>
      <w:r>
        <w:rPr>
          <w:rFonts w:ascii="Times New Roman;sans-serif" w:hAnsi="Times New Roman;sans-serif"/>
          <w:b/>
          <w:i/>
          <w:color w:val="000000"/>
          <w:sz w:val="18"/>
        </w:rPr>
        <w:t>Segment Discussion</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manages its operations under five operating segments, which represent its five reportable segments: (1) Communications; (2) Clean Energy and Infrastructure; (3) Oil and Gas; (4) Power Delivery and (5) Other. This structure is generally focused on broad end-user markets for the Company’s labor-based construction services. All five reportable segments derive their revenue primarily from the engineering, installation and maintenance of infrastructure, primarily in North America.</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Communications segment performs engineering, construction, maintenance and customer fulfillment activities related to communications infrastructure, primarily for wireless and wireline/fiber communications and install-to-the-home customers, as well as infrastructure for utilities, among others. The Clean Energy and Infrastructure segment primarily serves energy, utility, government and other end-markets through the installation and construction of power generation facilities, primarily from clean energy and renewable sources, such as wind, solar, biomass, natural gas and hydrogen, as well as battery storage systems for renewable energy; various types of heavy civil and industrial infrastructure, including roads, bridges and rail; and environmental remediation services. The Oil and Gas segment performs engineering, construction, maintenance and other services for pipeline infrastructure, including natural gas, carbon capture sequestration, water and pipeline integrity and other services for the energy and utilities industries. The Power Delivery segment primarily serves the energy and utility industries through the engineering, construction and maintenance of power transmission and distribution infrastructure, including electrical and gas transmission lines, distribution network systems and substations; and environmental planning and compliance services. The Other segment includes certain equity investees, the services of which may vary from those provided by the Company’s primary segments, as well as other small business units that perform construction and other services for certain international end-markets.</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Earnings before interest, taxes, depreciation and amortization (“EBITDA”) is the measure of profitability used by management to manage its segments and, accordingly, in its segment reporting. As appropriate, the Company supplements the reporting of its consolidated financial information determined in accordance with U.S. GAAP with certain non-U.S. GAAP financial measures, including EBITDA. The Company believes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these non-U.S. GAAP measures provide meaningful information and help investors understand the Company’s financial results and assess its prospects for future performance. The Company uses EBITDA to evaluate its performance, both internally and as compared with its peers, because it excludes certain items that may not be indicative of the Company’s core operating results for its reportable segments, as well as items that can vary widely across different industries or among companies within the same industry. Segment EBITDA is calculated in a manner consistent with consolidated EBITDA.</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Summarized financial information for MasTec’s reportable segments is presented and reconciled to consolidated financial information for total MasTec in the following tables, including a reconciliation of consolidated income before income taxes to EBITDA, all of which are presented in millions. The tables below may contain slight summation differences due to rounding.</w:t>
      </w:r>
    </w:p>
    <w:tbl>
      <w:tblPr>
        <w:tblW w:w="9740" w:type="dxa"/>
        <w:jc w:val="left"/>
        <w:tblInd w:w="0" w:type="dxa"/>
        <w:tblLayout w:type="fixed"/>
        <w:tblCellMar>
          <w:top w:w="28" w:type="dxa"/>
          <w:left w:w="28" w:type="dxa"/>
          <w:bottom w:w="28" w:type="dxa"/>
          <w:right w:w="28" w:type="dxa"/>
        </w:tblCellMar>
      </w:tblPr>
      <w:tblGrid>
        <w:gridCol w:w="863"/>
        <w:gridCol w:w="756"/>
        <w:gridCol w:w="765"/>
        <w:gridCol w:w="299"/>
        <w:gridCol w:w="1055"/>
        <w:gridCol w:w="166"/>
        <w:gridCol w:w="166"/>
        <w:gridCol w:w="166"/>
        <w:gridCol w:w="166"/>
        <w:gridCol w:w="299"/>
        <w:gridCol w:w="1055"/>
        <w:gridCol w:w="166"/>
        <w:gridCol w:w="109"/>
        <w:gridCol w:w="109"/>
        <w:gridCol w:w="109"/>
        <w:gridCol w:w="289"/>
        <w:gridCol w:w="1021"/>
        <w:gridCol w:w="161"/>
        <w:gridCol w:w="161"/>
        <w:gridCol w:w="161"/>
        <w:gridCol w:w="161"/>
        <w:gridCol w:w="289"/>
        <w:gridCol w:w="1021"/>
        <w:gridCol w:w="227"/>
      </w:tblGrid>
      <w:tr>
        <w:trPr/>
        <w:tc>
          <w:tcPr>
            <w:tcW w:w="863"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Nine Months Ended September 30, </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w:t>
            </w:r>
          </w:p>
        </w:tc>
        <w:tc>
          <w:tcPr>
            <w:tcW w:w="1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pPr>
            <w:r>
              <w:rPr>
                <w:rFonts w:ascii="Times New Roman;sans-serif" w:hAnsi="Times New Roman;sans-serif"/>
                <w:b w:val="false"/>
                <w:color w:val="000000"/>
                <w:sz w:val="18"/>
              </w:rPr>
              <w:t xml:space="preserve">Communications </w:t>
            </w:r>
            <w:r>
              <w:rPr>
                <w:rFonts w:ascii="Times New Roman;sans-serif" w:hAnsi="Times New Roman;sans-serif"/>
                <w:b w:val="false"/>
                <w:color w:val="000000"/>
                <w:sz w:val="12"/>
              </w:rPr>
              <w:t>(a)</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2,499.6 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2,375.1 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Clean Energy and Infrastructure</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1,099.9 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1,493.5 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Oil and Gas</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927.9 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Power Delivery</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1,985.4 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Eliminations</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revenue</w:t>
            </w:r>
          </w:p>
        </w:tc>
        <w:tc>
          <w:tcPr>
            <w:tcW w:w="2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3,257.1 </w:t>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2,513.5 </w:t>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8,715.9 </w:t>
            </w:r>
          </w:p>
        </w:tc>
        <w:tc>
          <w:tcPr>
            <w:tcW w:w="1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6,769.7 </w:t>
            </w:r>
          </w:p>
        </w:tc>
        <w:tc>
          <w:tcPr>
            <w:tcW w:w="2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    Revenue generated primarily by utilities customers represented 25.0% and 21.8% of Communications segment revenue for the three month periods ended September 30, 2023 and 2022, respectively, and represented 24.1% and 23.7% for the nine month periods ended September 30, 2023 and 2022, respectively.</w:t>
      </w:r>
    </w:p>
    <w:tbl>
      <w:tblPr>
        <w:tblW w:w="9739" w:type="dxa"/>
        <w:jc w:val="left"/>
        <w:tblInd w:w="0" w:type="dxa"/>
        <w:tblLayout w:type="fixed"/>
        <w:tblCellMar>
          <w:top w:w="28" w:type="dxa"/>
          <w:left w:w="28" w:type="dxa"/>
          <w:bottom w:w="28" w:type="dxa"/>
          <w:right w:w="28" w:type="dxa"/>
        </w:tblCellMar>
      </w:tblPr>
      <w:tblGrid>
        <w:gridCol w:w="863"/>
        <w:gridCol w:w="758"/>
        <w:gridCol w:w="764"/>
        <w:gridCol w:w="338"/>
        <w:gridCol w:w="960"/>
        <w:gridCol w:w="188"/>
        <w:gridCol w:w="188"/>
        <w:gridCol w:w="188"/>
        <w:gridCol w:w="188"/>
        <w:gridCol w:w="338"/>
        <w:gridCol w:w="960"/>
        <w:gridCol w:w="188"/>
        <w:gridCol w:w="109"/>
        <w:gridCol w:w="109"/>
        <w:gridCol w:w="109"/>
        <w:gridCol w:w="327"/>
        <w:gridCol w:w="928"/>
        <w:gridCol w:w="181"/>
        <w:gridCol w:w="181"/>
        <w:gridCol w:w="181"/>
        <w:gridCol w:w="181"/>
        <w:gridCol w:w="327"/>
        <w:gridCol w:w="928"/>
        <w:gridCol w:w="257"/>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Nine Months Ended September 30, </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EBITDA:</w:t>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109.9 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234.5 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Clean Energy and Infrastructure</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Oil and Gas</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133.4 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Power Delivery</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EBITDA</w:t>
            </w:r>
          </w:p>
        </w:tc>
        <w:tc>
          <w:tcPr>
            <w:tcW w:w="3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274.0 </w:t>
            </w:r>
          </w:p>
        </w:tc>
        <w:tc>
          <w:tcPr>
            <w:tcW w:w="1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252.4 </w:t>
            </w:r>
          </w:p>
        </w:tc>
        <w:tc>
          <w:tcPr>
            <w:tcW w:w="1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664.7 </w:t>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568.7 </w:t>
            </w:r>
          </w:p>
        </w:tc>
        <w:tc>
          <w:tcPr>
            <w:tcW w:w="2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For the three month period ended September 30, 2023, Communications, Clean Energy and Infrastructure and Power Delivery EBITDA included $4.8 million, $15.3 million and $0.5 million, respectively, of acquisition and integration costs related to the Company’s recent acquisitions, and Corporate EBITDA included $0.5 million of such costs. For the nine month period ended September 30, 2023, $18.3 million, $36.9 million, $2.5 million and $3.2 million of such costs were included in EBITDA of the segments and Corporate, respectively. For the three month period ended September 30, 2022, Communications, Oil and Gas, Power Delivery and Corporate EBITDA included $0.5 million, $1.1 million, $20.4 million and $11.2 million of such acquisition and integration costs, respectively, and for the nine month period ended September 30, 2022, $2.4 million, $4.5 million, $34.5 million and $18.0 million of such costs were included in EBITDA of the segments and Corporate, respectively. Additionally, for the nine month period ended September 30, 2023, Corporate EBITDA included fair value losses related to an investment of $0.2 million, and for the three and nine month periods ended September 30, 2022, Corporate EBITDA included $0.1 million and $7.2 million of such fair value losses, respectively.</w:t>
      </w:r>
    </w:p>
    <w:tbl>
      <w:tblPr>
        <w:tblW w:w="9904" w:type="dxa"/>
        <w:jc w:val="left"/>
        <w:tblInd w:w="0" w:type="dxa"/>
        <w:tblLayout w:type="fixed"/>
        <w:tblCellMar>
          <w:top w:w="28" w:type="dxa"/>
          <w:left w:w="28" w:type="dxa"/>
          <w:bottom w:w="28" w:type="dxa"/>
          <w:right w:w="28" w:type="dxa"/>
        </w:tblCellMar>
      </w:tblPr>
      <w:tblGrid>
        <w:gridCol w:w="924"/>
        <w:gridCol w:w="811"/>
        <w:gridCol w:w="815"/>
        <w:gridCol w:w="338"/>
        <w:gridCol w:w="960"/>
        <w:gridCol w:w="188"/>
        <w:gridCol w:w="188"/>
        <w:gridCol w:w="188"/>
        <w:gridCol w:w="188"/>
        <w:gridCol w:w="338"/>
        <w:gridCol w:w="960"/>
        <w:gridCol w:w="188"/>
        <w:gridCol w:w="109"/>
        <w:gridCol w:w="109"/>
        <w:gridCol w:w="109"/>
        <w:gridCol w:w="327"/>
        <w:gridCol w:w="928"/>
        <w:gridCol w:w="181"/>
        <w:gridCol w:w="181"/>
        <w:gridCol w:w="181"/>
        <w:gridCol w:w="181"/>
        <w:gridCol w:w="327"/>
        <w:gridCol w:w="928"/>
        <w:gridCol w:w="257"/>
      </w:tblGrid>
      <w:tr>
        <w:trPr/>
        <w:tc>
          <w:tcPr>
            <w:tcW w:w="92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Nine Months Ended September 30, </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EBITDA Reconciliation:</w:t>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income taxes</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Plus:</w:t>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263.5 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Corporate EBITDA</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EBITDA</w:t>
            </w:r>
          </w:p>
        </w:tc>
        <w:tc>
          <w:tcPr>
            <w:tcW w:w="3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274.0 </w:t>
            </w:r>
          </w:p>
        </w:tc>
        <w:tc>
          <w:tcPr>
            <w:tcW w:w="1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252.4 </w:t>
            </w:r>
          </w:p>
        </w:tc>
        <w:tc>
          <w:tcPr>
            <w:tcW w:w="1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664.7 </w:t>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568.7 </w:t>
            </w:r>
          </w:p>
        </w:tc>
        <w:tc>
          <w:tcPr>
            <w:tcW w:w="2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24</w:t>
                      </w:r>
                    </w:p>
                  </w:txbxContent>
                </v:textbox>
                <w10:wrap type="none"/>
              </v:rect>
            </w:pict>
          </mc:Fallback>
        </mc:AlternateConten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108"/>
        <w:gridCol w:w="964"/>
        <w:gridCol w:w="969"/>
        <w:gridCol w:w="328"/>
        <w:gridCol w:w="933"/>
        <w:gridCol w:w="182"/>
        <w:gridCol w:w="182"/>
        <w:gridCol w:w="182"/>
        <w:gridCol w:w="182"/>
        <w:gridCol w:w="328"/>
        <w:gridCol w:w="933"/>
        <w:gridCol w:w="182"/>
        <w:gridCol w:w="109"/>
        <w:gridCol w:w="109"/>
        <w:gridCol w:w="109"/>
        <w:gridCol w:w="318"/>
        <w:gridCol w:w="903"/>
        <w:gridCol w:w="176"/>
        <w:gridCol w:w="176"/>
        <w:gridCol w:w="176"/>
        <w:gridCol w:w="176"/>
        <w:gridCol w:w="318"/>
        <w:gridCol w:w="903"/>
        <w:gridCol w:w="259"/>
      </w:tblGrid>
      <w:tr>
        <w:trPr/>
        <w:tc>
          <w:tcPr>
            <w:tcW w:w="110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3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Nine Months Ended September 30, </w:t>
            </w:r>
          </w:p>
        </w:tc>
      </w:tr>
      <w:tr>
        <w:trPr/>
        <w:tc>
          <w:tcPr>
            <w:tcW w:w="3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Depreciation and Amortization:</w:t>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041"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Clean Energy and Infrastructure</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Oil and Gas</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Power Delivery</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depreciation and amortization</w:t>
            </w:r>
          </w:p>
        </w:tc>
        <w:tc>
          <w:tcPr>
            <w:tcW w:w="3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157.3 </w:t>
            </w:r>
          </w:p>
        </w:tc>
        <w:tc>
          <w:tcPr>
            <w:tcW w:w="1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119.3 </w:t>
            </w:r>
          </w:p>
        </w:tc>
        <w:tc>
          <w:tcPr>
            <w:tcW w:w="1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451.6 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344.7 </w:t>
            </w:r>
          </w:p>
        </w:tc>
        <w:tc>
          <w:tcPr>
            <w:tcW w:w="2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097" w:type="dxa"/>
        <w:jc w:val="center"/>
        <w:tblInd w:w="0" w:type="dxa"/>
        <w:tblLayout w:type="fixed"/>
        <w:tblCellMar>
          <w:top w:w="28" w:type="dxa"/>
          <w:left w:w="28" w:type="dxa"/>
          <w:bottom w:w="28" w:type="dxa"/>
          <w:right w:w="28" w:type="dxa"/>
        </w:tblCellMar>
      </w:tblPr>
      <w:tblGrid>
        <w:gridCol w:w="863"/>
        <w:gridCol w:w="758"/>
        <w:gridCol w:w="764"/>
        <w:gridCol w:w="236"/>
        <w:gridCol w:w="833"/>
        <w:gridCol w:w="131"/>
        <w:gridCol w:w="109"/>
        <w:gridCol w:w="109"/>
        <w:gridCol w:w="109"/>
        <w:gridCol w:w="223"/>
        <w:gridCol w:w="787"/>
        <w:gridCol w:w="175"/>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2,449.7 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2,378.6 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Clean Energy and Infrastructure</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2,902.6 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2,979.9 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Oil and Gas</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1,908.3 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1,544.2 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Power Delivery</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1,967.9 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assets</w:t>
            </w:r>
          </w:p>
        </w:tc>
        <w:tc>
          <w:tcPr>
            <w:tcW w:w="2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9,529.7 </w:t>
            </w:r>
          </w:p>
        </w:tc>
        <w:tc>
          <w:tcPr>
            <w:tcW w:w="1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9,293.3 </w:t>
            </w:r>
          </w:p>
        </w:tc>
        <w:tc>
          <w:tcPr>
            <w:tcW w:w="1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pPr>
      <w:r>
        <w:rPr>
          <w:rFonts w:ascii="Times New Roman;sans-serif" w:hAnsi="Times New Roman;sans-serif"/>
          <w:b/>
          <w:i/>
          <w:color w:val="000000"/>
          <w:sz w:val="18"/>
        </w:rPr>
        <w:t xml:space="preserve">Foreign Operations and Other. </w:t>
      </w:r>
      <w:r>
        <w:rPr>
          <w:rFonts w:ascii="Times New Roman;sans-serif" w:hAnsi="Times New Roman;sans-serif"/>
          <w:b w:val="false"/>
          <w:color w:val="000000"/>
          <w:sz w:val="18"/>
        </w:rPr>
        <w:t xml:space="preserve">MasTec operates primarily in the United States and Canada, and, to a far lesser extent, in Mexico, the Caribbean and India. Revenue derived from U.S. operations totaled $3.2 billion and $2.5 billion for the </w:t>
      </w:r>
      <w:r>
        <w:rPr>
          <w:rFonts w:ascii="Times New Roman;sans-serif" w:hAnsi="Times New Roman;sans-serif"/>
          <w:b w:val="false"/>
          <w:color w:val="000000"/>
          <w:sz w:val="18"/>
          <w:shd w:fill="FFFFFF" w:val="clear"/>
        </w:rPr>
        <w:t xml:space="preserve">three </w:t>
      </w:r>
      <w:r>
        <w:rPr>
          <w:rFonts w:ascii="Times New Roman;sans-serif" w:hAnsi="Times New Roman;sans-serif"/>
          <w:b w:val="false"/>
          <w:color w:val="000000"/>
          <w:sz w:val="18"/>
        </w:rPr>
        <w:t>month periods ended September 30, 2023 and 2022, respectively, and totaled $8.6 billion and $6.6 billion for the nine</w:t>
      </w:r>
      <w:r>
        <w:rPr>
          <w:color w:val="000000"/>
          <w:shd w:fill="FFFFFF" w:val="clear"/>
        </w:rPr>
        <w:t xml:space="preserve"> </w:t>
      </w:r>
      <w:r>
        <w:rPr>
          <w:rFonts w:ascii="Times New Roman;sans-serif" w:hAnsi="Times New Roman;sans-serif"/>
          <w:b w:val="false"/>
          <w:color w:val="000000"/>
          <w:sz w:val="18"/>
          <w:shd w:fill="FFFFFF" w:val="clear"/>
        </w:rPr>
        <w:t xml:space="preserve">month periods ended September 30, 2023 </w:t>
      </w:r>
      <w:r>
        <w:rPr>
          <w:rFonts w:ascii="Times New Roman;sans-serif" w:hAnsi="Times New Roman;sans-serif"/>
          <w:b w:val="false"/>
          <w:color w:val="000000"/>
          <w:sz w:val="18"/>
        </w:rPr>
        <w:t xml:space="preserve">and 2022, respectively. Revenue derived from foreign operations totaled $18.8 million and $49.4 million for the </w:t>
      </w:r>
      <w:r>
        <w:rPr>
          <w:rFonts w:ascii="Times New Roman;sans-serif" w:hAnsi="Times New Roman;sans-serif"/>
          <w:b w:val="false"/>
          <w:color w:val="000000"/>
          <w:sz w:val="18"/>
          <w:shd w:fill="FFFFFF" w:val="clear"/>
        </w:rPr>
        <w:t>three</w:t>
      </w:r>
      <w:r>
        <w:rPr>
          <w:color w:val="000000"/>
        </w:rPr>
        <w:t xml:space="preserve"> </w:t>
      </w:r>
      <w:r>
        <w:rPr>
          <w:rFonts w:ascii="Times New Roman;sans-serif" w:hAnsi="Times New Roman;sans-serif"/>
          <w:b w:val="false"/>
          <w:color w:val="000000"/>
          <w:sz w:val="18"/>
        </w:rPr>
        <w:t>month periods ended September 30, 2023 and 2022, respectively, and totaled $68.4 million and $125.2 million for the nine</w:t>
      </w:r>
      <w:r>
        <w:rPr>
          <w:color w:val="000000"/>
          <w:shd w:fill="FFFFFF" w:val="clear"/>
        </w:rPr>
        <w:t xml:space="preserve"> </w:t>
      </w:r>
      <w:r>
        <w:rPr>
          <w:rFonts w:ascii="Times New Roman;sans-serif" w:hAnsi="Times New Roman;sans-serif"/>
          <w:b w:val="false"/>
          <w:color w:val="000000"/>
          <w:sz w:val="18"/>
          <w:shd w:fill="FFFFFF" w:val="clear"/>
        </w:rPr>
        <w:t xml:space="preserve">month periods ended September 30, 2023 </w:t>
      </w:r>
      <w:r>
        <w:rPr>
          <w:rFonts w:ascii="Times New Roman;sans-serif" w:hAnsi="Times New Roman;sans-serif"/>
          <w:b w:val="false"/>
          <w:color w:val="000000"/>
          <w:sz w:val="18"/>
        </w:rPr>
        <w:t xml:space="preserve">and 2022, respectively. Revenue from foreign operations was derived primarily from the Company’s Canadian operations in its Oil and Gas segment. Long-lived assets held in the U.S. included property and equipment, net, of $1.7 billion as of both September 30, 2023 and December 31, 2022, and for the Company’s businesses in foreign countries, totaled $18.0 million and $21.0 million for the respective periods. Intangible assets and goodwill, net, related to the Company’s U.S. operations totaled approximately $2.9 billion and $3.0 billion as of September 30, 2023 and December 31, 2022, respectively, and for the Company’s businesses in foreign countries, totaled approximately $32.8 million and $35.5 million, respectively. Substantially all of the Company’s long-lived and intangible assets and goodwill in foreign countries relate to its Canadian operations. As of September 30, 2023, amounts due from customers from which foreign revenue was derived accounted for less than 1% of the Company’s consolidated net accounts receivable position, which is calculated as accounts receivable, net, less deferred revenue. As of December 31, 2022, such amounts accounted for approximately 1% of the Company’s consolidated net accounts receivable position. Revenue from governmental entities for the </w:t>
      </w:r>
      <w:r>
        <w:rPr>
          <w:rFonts w:ascii="Times New Roman;sans-serif" w:hAnsi="Times New Roman;sans-serif"/>
          <w:b w:val="false"/>
          <w:color w:val="000000"/>
          <w:sz w:val="18"/>
          <w:shd w:fill="FFFFFF" w:val="clear"/>
        </w:rPr>
        <w:t xml:space="preserve">three </w:t>
      </w:r>
      <w:r>
        <w:rPr>
          <w:rFonts w:ascii="Times New Roman;sans-serif" w:hAnsi="Times New Roman;sans-serif"/>
          <w:b w:val="false"/>
          <w:color w:val="000000"/>
          <w:sz w:val="18"/>
        </w:rPr>
        <w:t>month periods ended September 30, 2023 and 2022 totaled approximately 12% and 6% of total revenue, respectively, and for the nine month periods ended September 30, 2023 and 2022, totaled approximately 11% and 7% of total revenue, respectively. Substantially all of the Company’s revenue from governmental entities was derived from its U.S. operations.</w:t>
      </w:r>
    </w:p>
    <w:p>
      <w:pPr>
        <w:pStyle w:val="TextBody"/>
        <w:bidi w:val="0"/>
        <w:spacing w:lineRule="auto" w:line="288" w:before="120" w:after="283"/>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Significant Customers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For the three month period ended September 30, 2023, Equitrans Midstream Corporation represented 11% of the Company’s total consolidated revenue, and for the three month period ended September 30, 2022, no customer represented greater than 10% of the Company’s total consolidated revenue. For the nine month periods ended September 30, 2023 and 2022, no customer represented greater than 10% of the Company’s total consolidated revenue. The Company's relationship with Equitrans Midstream Corporation and its affiliates is based upon various construction contracts for pipeline activities, for which the related revenue is included in the Oil and Gas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14 – Commitments and Contingencies</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MasTec is subject to a variety of legal cases, claims and other disputes that arise from time to time in the ordinary course of its business, including project contract price and other project disputes, other project-related liabilities and acquisition purchase price disputes. MasTec cannot provide assurance that it will be successful in recovering all or any of the potential damages it has claimed or in defending claims against the Company. The outcome of such cases, claims and disputes cannot be predicted with certainty and an unfavorable resolution of one or more of them could have a material adverse effect on the Company’s business, financial condition, results of operations and cash flows.</w:t>
      </w:r>
    </w:p>
    <w:p>
      <w:pPr>
        <w:pStyle w:val="TextBody"/>
        <w:bidi w:val="0"/>
        <w:spacing w:lineRule="auto" w:line="288" w:before="0" w:after="120"/>
        <w:ind w:left="0" w:right="0" w:firstLine="720"/>
        <w:jc w:val="both"/>
        <w:rPr/>
      </w:pPr>
      <w:r>
        <w:rPr>
          <w:rFonts w:ascii="Times New Roman;sans-serif" w:hAnsi="Times New Roman;sans-serif"/>
          <w:b/>
          <w:i/>
          <w:color w:val="000000"/>
          <w:sz w:val="18"/>
        </w:rPr>
        <w:t>Acquired Legacy Solar Matter.</w:t>
      </w:r>
      <w:r>
        <w:rPr>
          <w:color w:val="000000"/>
        </w:rPr>
        <w:t xml:space="preserve"> </w:t>
      </w:r>
      <w:r>
        <w:rPr>
          <w:rFonts w:ascii="Times New Roman;sans-serif" w:hAnsi="Times New Roman;sans-serif"/>
          <w:b w:val="false"/>
          <w:color w:val="000000"/>
          <w:sz w:val="18"/>
        </w:rPr>
        <w:t>On April 28, 2023, a jury found IEA and its subsidiary, IEA Constructors, LLC (“IEAC” and, together with IEA, the “IEA Entities”), liable to plaintiffs H&amp;L Farms LLC (“H&amp;L Farms”), Shaun Harris and Amie Harris following a trial in the U.S. District Court for the Middle District of Georgia, Columbus Division (the “Court”), against the IEA Entities, IEAC’s customer, Silicon Ranch Corporation (“SRC”) and engineering firm Westwood Professional Services, Inc. The suit, filed in August 2021, arose out of a project that commenced in 2021 involving the construction by IEAC of a solar farm for SRC. The project was constructed on SRC’s property located adjacent to a 1,400 acre tract of land that plaintiffs purchased in March 2021 for approximately $3.3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plaintiffs brought various causes of action under Georgia law, including trespass, nuisance and negligence, arising out of the defendants’ alleged failure to exercise appropriate efforts to prevent and remediate soil erosion and sedimentary run-off that flowed from SRC’s property into a 21-acre lake on plaintiffs’ property. Following trial, the jury awarded Mr. and Mrs. Harris $4.5 million each for loss of use and enjoyment of the lake and awarded H&amp;L Farms (the legal owner) another $1.5 million in remediation costs. These damages were apportioned 30% to SRC, 40% to IEA and 30% to IEAC. The jury also awarded $25 million in punitive damages against SRC and $50 million in punitive damages against each of the IEA Entities. The Court entered judgment on the verdict and issued an injunction requiring IEAC to remediate the sedimentary run-off as quickly as possible.</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Subsequently, the IEA Entities and SRC filed post-trial motions seeking multiple avenues of relief from the verdict. Plaintiffs filed oppositions to both motions.</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Following trial, Mr. and Mrs. Harris also filed a motion for damages under the Georgia frivolous claim/defense statute, seeking $1 million in damages for each of them in compensation for their ostensible stress in pursuing their claims in litigation and an unspecified amount of attorneys’ fees, which they implied could be as much as 45% of any amount of damages remaining after post-verdict review. The IEA Entities and SRC opposed this motion.</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On October 23, 2023, the Court issued an order resolving the parties’ post-trial motions. The Court first ruled that the compensatory damages for restoration of the lake are unsupported by the evidence and that the compensatory damages for loss of use and enjoyment are excessive. It ordered a new trial on the amount of compensatory damages unless Mr. and Mrs. Harris agree to a remittitur of their damages for loss of use and enjoyment to approximately $0.5 million each and H&amp;L Farms agrees to a remittitur of its damages for restoration of the lake to approximately $0.3 million. The Court also ordered a new trial on the amount of punitive damages unless plaintiffs agree to a remittitur of the punitive damages against SRC to approximately $1.1 million and a remittitur of the punitive damages against the IEA Entities to approximately $2.7 million in total. The plaintiffs have until November 13, 2023 to notify the Court whether they agree to the remittiturs. If they do not agree to the remittiturs, the Court intends to hold a new trial on the amount of compensatory and punitive damages in March 2024. Finally, the Court denied the plaintiffs’ request for damages and attorneys’ fees under the Georgia frivolous claims/defenses statute.</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On October 31, 2023, the plaintiffs filed a motion for reconsideration of the Court’s order, seeking, among other things, that the Court permit a higher amount of damages and defer any retrial to a later time, accompanied by a request that the Court certify its order for an immediate appeal and to seek the Georgia Supreme Court’s answers to various ostensible issues of Georgia law.</w:t>
      </w:r>
    </w:p>
    <w:p>
      <w:pPr>
        <w:pStyle w:val="TextBody"/>
        <w:bidi w:val="0"/>
        <w:spacing w:lineRule="auto" w:line="288" w:before="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Other Commitments and Contingencies</w:t>
      </w:r>
    </w:p>
    <w:p>
      <w:pPr>
        <w:pStyle w:val="TextBody"/>
        <w:bidi w:val="0"/>
        <w:spacing w:lineRule="auto" w:line="288" w:before="0" w:after="120"/>
        <w:ind w:left="0" w:right="0" w:firstLine="720"/>
        <w:jc w:val="both"/>
        <w:rPr/>
      </w:pPr>
      <w:r>
        <w:rPr>
          <w:rFonts w:ascii="Times New Roman;sans-serif" w:hAnsi="Times New Roman;sans-serif"/>
          <w:b/>
          <w:i/>
          <w:color w:val="000000"/>
          <w:sz w:val="18"/>
        </w:rPr>
        <w:t>Leases</w:t>
      </w:r>
      <w:r>
        <w:rPr>
          <w:rFonts w:ascii="Times New Roman;sans-serif" w:hAnsi="Times New Roman;sans-serif"/>
          <w:b/>
          <w:color w:val="000000"/>
          <w:sz w:val="18"/>
        </w:rPr>
        <w:t xml:space="preserve">. </w:t>
      </w:r>
      <w:r>
        <w:rPr>
          <w:rFonts w:ascii="Times New Roman;sans-serif" w:hAnsi="Times New Roman;sans-serif"/>
          <w:b w:val="false"/>
          <w:color w:val="000000"/>
          <w:sz w:val="18"/>
        </w:rPr>
        <w:t>In the ordinary course of business, the Company enters into non-cancelable operating leases for certain of its facility, vehicle and equipment needs, including certain related party leases. See Note 8 - Lease Obligations and Note 15 - Related Party Transactions.</w:t>
      </w:r>
    </w:p>
    <w:p>
      <w:pPr>
        <w:pStyle w:val="TextBody"/>
        <w:bidi w:val="0"/>
        <w:spacing w:lineRule="auto" w:line="288" w:before="0" w:after="120"/>
        <w:ind w:left="0" w:right="0" w:firstLine="720"/>
        <w:jc w:val="both"/>
        <w:rPr/>
      </w:pPr>
      <w:r>
        <w:rPr>
          <w:rFonts w:ascii="Times New Roman;sans-serif" w:hAnsi="Times New Roman;sans-serif"/>
          <w:b/>
          <w:i/>
          <w:color w:val="000000"/>
          <w:sz w:val="18"/>
        </w:rPr>
        <w:t>Letters of Credit.</w:t>
      </w:r>
      <w:r>
        <w:rPr>
          <w:color w:val="000000"/>
        </w:rPr>
        <w:t xml:space="preserve"> </w:t>
      </w:r>
      <w:r>
        <w:rPr>
          <w:rFonts w:ascii="Times New Roman;sans-serif" w:hAnsi="Times New Roman;sans-serif"/>
          <w:b w:val="false"/>
          <w:color w:val="000000"/>
          <w:sz w:val="18"/>
        </w:rPr>
        <w:t>In the ordinary course of business, the Company is required to post letters of credit for its insurance carriers and surety bond providers and in support of performance under certain contracts as well as certain obligations associated with the Company’s equity investments and other strategic arrangements, including its variable interest entities. Such letters of credit are generally issued by a bank or similar financial institution. The letter of credit commits the issuer to pay specified amounts to the holder of the letter of credit under certain conditions. If this were to occur, the Company would be required to reimburse the issuer of the letter of credit, which, depending upon the circumstances, could result in a charge to earnings. As of September 30, 2023 and December 31, 2022, there were $82.1 million and $166.7 million, respectively, of letters of credit issued under the Company’s credit facilities. Letter of credit claims have historically not been material. The Company is not aware of any material claims relating to its outstanding letters of credit as of September 30, 2023 or December 31, 2022.</w:t>
      </w:r>
    </w:p>
    <w:p>
      <w:pPr>
        <w:pStyle w:val="TextBody"/>
        <w:bidi w:val="0"/>
        <w:spacing w:lineRule="auto" w:line="288" w:before="0" w:after="120"/>
        <w:ind w:left="0" w:right="0" w:firstLine="720"/>
        <w:jc w:val="both"/>
        <w:rPr/>
      </w:pPr>
      <w:r>
        <w:rPr>
          <w:rFonts w:ascii="Times New Roman;sans-serif" w:hAnsi="Times New Roman;sans-serif"/>
          <w:b/>
          <w:i/>
          <w:color w:val="000000"/>
          <w:sz w:val="18"/>
        </w:rPr>
        <w:t>Performance and Payment Bonds.</w:t>
      </w:r>
      <w:r>
        <w:rPr>
          <w:color w:val="000000"/>
        </w:rPr>
        <w:t xml:space="preserve"> </w:t>
      </w:r>
      <w:r>
        <w:rPr>
          <w:rFonts w:ascii="Times New Roman;sans-serif" w:hAnsi="Times New Roman;sans-serif"/>
          <w:b w:val="false"/>
          <w:color w:val="000000"/>
          <w:sz w:val="18"/>
        </w:rPr>
        <w:t>In the ordinary course of business, MasTec is required by certain customers to provide performance and payment bonds for contractual commitments related to its projects. These bonds provide a guarantee to the customer that the Company will perform under the terms of a contract and that the Company will pay its subcontractors and vendors. If the Company fails to perform under a contract or to pay its subcontractors and vendors, the customer may demand that the surety make payments or provide services under the bond. The Company must reimburse the surety for expenses or outlays it incurs. As of September 30, 2023 and December 31, 2022, outstanding performance and payment bonds approximated $5,552.1 million and $4,855.5 million, respectively, and estimated costs to complete projects secured by these bonds totaled $1,693.7 million and $1,739.9 million, respectively. Included in these balances as of September 30, 2023 and December 31, 2022 are $329.0 million and $115.8 million, respectively, of outstanding performance and payment bonds issued on behalf of the Company’s proportionately consolidated non-controlled contractual joint ventures, representing the Company’s proportionate share of the total bond obligation for the related projects.</w:t>
      </w:r>
    </w:p>
    <w:p>
      <w:pPr>
        <w:pStyle w:val="TextBody"/>
        <w:bidi w:val="0"/>
        <w:spacing w:lineRule="auto" w:line="288" w:before="0" w:after="120"/>
        <w:ind w:left="0" w:right="0" w:firstLine="720"/>
        <w:jc w:val="both"/>
        <w:rPr/>
      </w:pPr>
      <w:r>
        <w:rPr>
          <w:rFonts w:ascii="Times New Roman;sans-serif" w:hAnsi="Times New Roman;sans-serif"/>
          <w:b/>
          <w:i/>
          <w:color w:val="000000"/>
          <w:sz w:val="18"/>
        </w:rPr>
        <w:t>Investment and Strategic Arrangements.</w:t>
      </w:r>
      <w:r>
        <w:rPr>
          <w:color w:val="000000"/>
        </w:rPr>
        <w:t xml:space="preserve"> </w:t>
      </w:r>
      <w:r>
        <w:rPr>
          <w:rFonts w:ascii="Times New Roman;sans-serif" w:hAnsi="Times New Roman;sans-serif"/>
          <w:b w:val="false"/>
          <w:color w:val="000000"/>
          <w:sz w:val="18"/>
        </w:rPr>
        <w:t>The Company holds undivided interests, ranging from 85% to 90%, in multiple proportionately consolidated non-controlled contractual joint ventures that provide infrastructure construction services for electrical transmission projects, as well as undivided interests, ranging from 25% to 50%, in each of four civil construction projects, and one 49% undivided interest in pipeline project work. Income and/or losses incurred by these joint ventures are generally shared proportionally by the respective joint venture members, with the members of the joint ventures jointly and severally liable for all of the obligations of the joint venture. The respective joint venture agreements provide that each joint venture partner indemnify the other party for any liabilities incurred by such joint venture in excess of its ratable portion of such liabilities. Thus, it is possible that the Company could be required to pay or perform obligations in excess of its share if the other joint venture partners fail or refuse to pay or perform their respective share of the obligations. As of September 30, 2023, the Company was not aware of material future claims against it in connection with these arrangements. For the nine month period ended September 30, 2023, the Company provided $0.5 million of project-related financing to its contractual joint ventures, which amount was outstanding as of September 30, 2023. Included in the Company’s cash balances as of September 30, 2023 and December 31, 2022 are amounts held by entities that are proportionately consolidated totaling $26.5 million and $25.7 million, respectively. These amounts are available to support the operations of those entities, but are not available for the Company’s other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has other investment and strategic arrangements, under which it may incur costs or provide financing, performance, financial and/or other guarantees. See Note 4 - Fair Value of Financial Instruments and Note 15 - Related Party Transactions for additional information pertaining to the Company’s investment and strategic arrangements.</w:t>
      </w:r>
    </w:p>
    <w:p>
      <w:pPr>
        <w:pStyle w:val="TextBody"/>
        <w:bidi w:val="0"/>
        <w:spacing w:lineRule="auto" w:line="288" w:before="0" w:after="120"/>
        <w:ind w:left="0" w:right="0" w:firstLine="720"/>
        <w:jc w:val="both"/>
        <w:rPr/>
      </w:pPr>
      <w:r>
        <w:rPr>
          <w:rFonts w:ascii="Times New Roman;sans-serif" w:hAnsi="Times New Roman;sans-serif"/>
          <w:b/>
          <w:i/>
          <w:color w:val="000000"/>
          <w:sz w:val="18"/>
        </w:rPr>
        <w:t>Self-Insurance</w:t>
      </w:r>
      <w:r>
        <w:rPr>
          <w:rFonts w:ascii="Times New Roman;sans-serif" w:hAnsi="Times New Roman;sans-serif"/>
          <w:b w:val="false"/>
          <w:i/>
          <w:color w:val="000000"/>
          <w:sz w:val="18"/>
        </w:rPr>
        <w:t>.</w:t>
      </w:r>
      <w:r>
        <w:rPr>
          <w:color w:val="000000"/>
        </w:rPr>
        <w:t xml:space="preserve"> </w:t>
      </w:r>
      <w:r>
        <w:rPr>
          <w:rFonts w:ascii="Times New Roman;sans-serif" w:hAnsi="Times New Roman;sans-serif"/>
          <w:b w:val="false"/>
          <w:color w:val="000000"/>
          <w:sz w:val="18"/>
        </w:rPr>
        <w:t>MasTec maintains insurance policies for workers’ compensation, general liability and automobile liability, which are subject to per claim deductibles. The Company is self-insured up to the amount of the deductible. The Company also maintains excess umbrella coverage. The Company manages certain of its insurance liabilities indirectly through its wholly-owned captive insurance company, which reimburses claims up to the applicable insurance limits. Captive insurance-related cash balances totaled approximately $0.8 million and $1.1 million as of September 30, 2023 and December 31, 2022, respectively, which amounts are generally not available for use in the Company’s other operations.</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of September 30, 2023 and December 31, 2022, MasTec’s estimated liability for unpaid claims and associated expenses, including incurred but not reported losses related to these policies, totaled $201.1 million and $176.7 million, respectively, of which $131.5 million and $109.3 million, respectively, were reflected within other long-term liabilities in the consolidated balance sheets. MasTec also maintains an insurance policy with respect to employee group medical claims, which is subject to annual per employee maximum losses. MasTec’s estimated liability for employee group medical claims totaled $4.8 million and $4.1 million as of September 30, 2023 and December 31, 2022, respectively.</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is required to post collateral, generally in the form of letters of credit, surety bonds and cash to certain of its insurance carriers. Insurance-related letters of credit for the Company’s workers’ compensation, general liability and automobile liability policies amounted to $9.6 million and $95.6 million as of September 30, 2023 and December 31, 2022, respectively. Outstanding surety bonds related to self-insurance programs amounted to $204.8 million and $110.9 million as of September 30, 2023 and December 31, 2022, respectively.</w:t>
      </w:r>
    </w:p>
    <w:p>
      <w:pPr>
        <w:pStyle w:val="TextBody"/>
        <w:bidi w:val="0"/>
        <w:spacing w:lineRule="auto" w:line="288" w:before="0" w:after="120"/>
        <w:ind w:left="0" w:right="0" w:firstLine="720"/>
        <w:jc w:val="both"/>
        <w:rPr/>
      </w:pPr>
      <w:r>
        <w:rPr>
          <w:rFonts w:ascii="Times New Roman;sans-serif" w:hAnsi="Times New Roman;sans-serif"/>
          <w:b/>
          <w:i/>
          <w:color w:val="000000"/>
          <w:sz w:val="18"/>
        </w:rPr>
        <w:t>Collective Bargaining Agreements and Multiemployer Plans.</w:t>
      </w:r>
      <w:r>
        <w:rPr>
          <w:color w:val="000000"/>
        </w:rPr>
        <w:t xml:space="preserve"> </w:t>
      </w:r>
      <w:r>
        <w:rPr>
          <w:rFonts w:ascii="Times New Roman;sans-serif" w:hAnsi="Times New Roman;sans-serif"/>
          <w:b w:val="false"/>
          <w:color w:val="000000"/>
          <w:sz w:val="18"/>
        </w:rPr>
        <w:t>As discussed in Note 10 - Other Retirement Plans, certain of MasTec’s subsidiaries are party to various collective bargaining agreements with unions representing certain of their employees, which require the Company to pay specified wages, provide certain benefits and contribute certain amounts to MEPPs. The Employee Retirement Income Security Act of 1974, as amended by the Multiemployer Pension Plan Amendments Act of 1980 (collectively, “ERISA”), which governs U.S.-registered MEPPs, subjects employers to substantial liabilities in the event of an employer’s complete or partial withdrawal from, or upon termination of, such plans.</w:t>
      </w:r>
    </w:p>
    <w:p>
      <w:pPr>
        <w:pStyle w:val="TextBody"/>
        <w:bidi w:val="0"/>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currently contributes, and in the past, has contributed to, plans that are underfunded, and, therefore, could have potential liability associated with a voluntary or involuntary withdrawal from, or termination of, these plans. As of September 30, 2023, the Company does not have plans to withdraw from, and is not aware of circumstances that would reasonably lead to material claims against it, in connection with the MEPPs in which it participates. There can be no assurance, however, that the Company will not be assessed liabilities in the future, including in the form of a surcharge on future benefit contributions or increased contributions on underfunded plans. The amount the Company could be obligated to pay or contribute in the future cannot be estimated, as these amounts are based on future levels of work of the union employees covered by these plans, investment returns, which could be negatively affected by economic and market conditions, and the level of underfunding of such plans. In connection with the IEA acquisition, the Company assumed a multiemployer pension plan withdrawal liability, under which IEA is currently obligated to make monthly payments of approximately $10,000. As of September 30, 2023 and December 31, 2022, the remaining obligation approximated $1.8 million and $1.9 million, respectively.</w:t>
      </w:r>
    </w:p>
    <w:p>
      <w:pPr>
        <w:pStyle w:val="TextBody"/>
        <w:bidi w:val="0"/>
        <w:spacing w:lineRule="auto" w:line="288" w:before="120" w:after="120"/>
        <w:ind w:left="0" w:right="0" w:firstLine="720"/>
        <w:jc w:val="both"/>
        <w:rPr/>
      </w:pPr>
      <w:r>
        <w:rPr>
          <w:rFonts w:ascii="Times New Roman;sans-serif" w:hAnsi="Times New Roman;sans-serif"/>
          <w:b/>
          <w:i/>
          <w:color w:val="000000"/>
          <w:sz w:val="18"/>
        </w:rPr>
        <w:t>Indemnities.</w:t>
      </w:r>
      <w:r>
        <w:rPr>
          <w:color w:val="000000"/>
        </w:rPr>
        <w:t xml:space="preserve"> </w:t>
      </w:r>
      <w:r>
        <w:rPr>
          <w:rFonts w:ascii="Times New Roman;sans-serif" w:hAnsi="Times New Roman;sans-serif"/>
          <w:b w:val="false"/>
          <w:color w:val="000000"/>
          <w:sz w:val="18"/>
        </w:rPr>
        <w:t>The Company generally indemnifies its customers for the services it provides under its contracts, as well as other specified liabilities, which may subject the Company to indemnity claims, liabilities and related litigation. As of September 30, 2023 and December 31, 2022, the Company had accrued project close-out liabilities of approximately $20 million and $40 million, respectively. The Company is not aware of any other material asserted or unasserted claims in connection with its potential indemnity obligations.</w:t>
      </w:r>
    </w:p>
    <w:p>
      <w:pPr>
        <w:pStyle w:val="TextBody"/>
        <w:bidi w:val="0"/>
        <w:spacing w:lineRule="auto" w:line="288" w:before="0" w:after="120"/>
        <w:ind w:left="0" w:right="0" w:firstLine="720"/>
        <w:jc w:val="both"/>
        <w:rPr/>
      </w:pPr>
      <w:r>
        <w:rPr>
          <w:rFonts w:ascii="Times New Roman;sans-serif" w:hAnsi="Times New Roman;sans-serif"/>
          <w:b/>
          <w:i/>
          <w:color w:val="000000"/>
          <w:sz w:val="18"/>
        </w:rPr>
        <w:t>Other Guarantees.</w:t>
      </w:r>
      <w:r>
        <w:rPr>
          <w:color w:val="000000"/>
        </w:rPr>
        <w:t xml:space="preserve"> </w:t>
      </w:r>
      <w:r>
        <w:rPr>
          <w:rFonts w:ascii="Times New Roman;sans-serif" w:hAnsi="Times New Roman;sans-serif"/>
          <w:b w:val="false"/>
          <w:color w:val="000000"/>
          <w:sz w:val="18"/>
        </w:rPr>
        <w:t>From time to time in the ordinary course of its business, MasTec guarantees the obligations of its subsidiaries, including obligations under certain contracts with customers, certain lease obligations, and in some states, obligations in connection with obtaining contractors’ licenses. MasTec has also issued performance and other guarantees in connection with certain of its equity investments. MasTec also generally warrants the work it performs following substantial completion of a project. Much of the work performed by the Company is evaluated for defects shortly after the work is completed. If warranty claims occur, the Company could be required to repair or replace warrantied items, or, if customers elect to repair or replace the warrantied item using the services of another provider, the Company could be required to pay for the cost of the repair or replacement. Warranty claims have historically not been material.</w:t>
      </w:r>
    </w:p>
    <w:p>
      <w:pPr>
        <w:pStyle w:val="TextBody"/>
        <w:bidi w:val="0"/>
        <w:spacing w:lineRule="auto" w:line="288" w:before="0" w:after="120"/>
        <w:ind w:left="0" w:right="0" w:firstLine="720"/>
        <w:jc w:val="both"/>
        <w:rPr/>
      </w:pPr>
      <w:r>
        <w:rPr>
          <w:rFonts w:ascii="Times New Roman;sans-serif" w:hAnsi="Times New Roman;sans-serif"/>
          <w:b/>
          <w:i/>
          <w:color w:val="000000"/>
          <w:sz w:val="18"/>
        </w:rPr>
        <w:t>Concentrations of Risk.</w:t>
      </w:r>
      <w:r>
        <w:rPr>
          <w:color w:val="000000"/>
        </w:rPr>
        <w:t xml:space="preserve"> </w:t>
      </w:r>
      <w:r>
        <w:rPr>
          <w:rFonts w:ascii="Times New Roman;sans-serif" w:hAnsi="Times New Roman;sans-serif"/>
          <w:b w:val="false"/>
          <w:color w:val="000000"/>
          <w:sz w:val="18"/>
        </w:rPr>
        <w:t>The Company had approximately 1,425 customers for the nine</w:t>
      </w:r>
      <w:r>
        <w:rPr>
          <w:color w:val="000000"/>
          <w:shd w:fill="FFFFFF" w:val="clear"/>
        </w:rPr>
        <w:t xml:space="preserve"> </w:t>
      </w:r>
      <w:r>
        <w:rPr>
          <w:rFonts w:ascii="Times New Roman;sans-serif" w:hAnsi="Times New Roman;sans-serif"/>
          <w:b w:val="false"/>
          <w:color w:val="000000"/>
          <w:sz w:val="18"/>
        </w:rPr>
        <w:t>month period ended September 30, 2023. No customer represented greater than 10% of the Company’s consolidated net accounts receivable position, which is calculated as accounts receivable, net, less deferred revenue, as of either September 30, 2023 or December 31, 2022. The Company derived approximately 40% a</w:t>
      </w:r>
      <w:r>
        <w:rPr>
          <w:rFonts w:ascii="Times New Roman;sans-serif" w:hAnsi="Times New Roman;sans-serif"/>
          <w:b w:val="false"/>
          <w:color w:val="000000"/>
          <w:sz w:val="18"/>
          <w:shd w:fill="FFFFFF" w:val="clear"/>
        </w:rPr>
        <w:t xml:space="preserve">nd </w:t>
      </w:r>
      <w:r>
        <w:rPr>
          <w:rFonts w:ascii="Times New Roman;sans-serif" w:hAnsi="Times New Roman;sans-serif"/>
          <w:b w:val="false"/>
          <w:color w:val="000000"/>
          <w:sz w:val="18"/>
        </w:rPr>
        <w:t>41%</w:t>
      </w:r>
      <w:r>
        <w:rPr>
          <w:rFonts w:ascii="Times New Roman;sans-serif" w:hAnsi="Times New Roman;sans-serif"/>
          <w:b w:val="false"/>
          <w:color w:val="000000"/>
          <w:sz w:val="18"/>
          <w:shd w:fill="FFFFFF" w:val="clear"/>
        </w:rPr>
        <w:t xml:space="preserve">, respectively, of </w:t>
      </w:r>
      <w:r>
        <w:rPr>
          <w:rFonts w:ascii="Times New Roman;sans-serif" w:hAnsi="Times New Roman;sans-serif"/>
          <w:b w:val="false"/>
          <w:color w:val="000000"/>
          <w:sz w:val="18"/>
        </w:rPr>
        <w:t xml:space="preserve">its revenue from its top ten customers for the </w:t>
      </w:r>
      <w:r>
        <w:rPr>
          <w:rFonts w:ascii="Times New Roman;sans-serif" w:hAnsi="Times New Roman;sans-serif"/>
          <w:b w:val="false"/>
          <w:color w:val="000000"/>
          <w:sz w:val="18"/>
          <w:shd w:fill="FFFFFF" w:val="clear"/>
        </w:rPr>
        <w:t xml:space="preserve">three </w:t>
      </w:r>
      <w:r>
        <w:rPr>
          <w:rFonts w:ascii="Times New Roman;sans-serif" w:hAnsi="Times New Roman;sans-serif"/>
          <w:b w:val="false"/>
          <w:color w:val="000000"/>
          <w:sz w:val="18"/>
        </w:rPr>
        <w:t>month periods ended September 30, 2023 and 2022, and derived approximately 37% and 42% of such revenue for the nine month periods ended September 30,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Note 15 – Related Party Transactions</w:t>
      </w:r>
    </w:p>
    <w:p>
      <w:pPr>
        <w:pStyle w:val="TextBody"/>
        <w:bidi w:val="0"/>
        <w:spacing w:lineRule="auto" w:line="288" w:before="120" w:after="283"/>
        <w:ind w:left="0" w:right="0" w:firstLine="720"/>
        <w:jc w:val="both"/>
        <w:rPr/>
      </w:pPr>
      <w:r>
        <w:rPr>
          <w:rFonts w:ascii="Times New Roman;sans-serif" w:hAnsi="Times New Roman;sans-serif"/>
          <w:b w:val="false"/>
          <w:color w:val="000000"/>
          <w:sz w:val="18"/>
        </w:rPr>
        <w:t>MasTec purchases, rents and leases equipment and purchases various types of supplies and services used in its business, including ancillary construction services, project-related site restoration and marketing, business development and administrative activities, from a number of different vendors on a non-exclusive basis, and from time to time, rents equipment to, sells certain supplies, or performs construction services on behalf of, entities in which members of subsidiary management have ownership or commercial interests. For the three month periods ended September 30, 2023 and 2022, such payments to related party entities totaled approximately $7.1 million and $8.0 million, respectively, and for the nine</w:t>
      </w:r>
      <w:r>
        <w:rPr>
          <w:color w:val="000000"/>
          <w:shd w:fill="FFFFFF" w:val="clear"/>
        </w:rPr>
        <w:t xml:space="preserve"> </w:t>
      </w:r>
      <w:r>
        <w:rPr>
          <w:rFonts w:ascii="Times New Roman;sans-serif" w:hAnsi="Times New Roman;sans-serif"/>
          <w:b w:val="false"/>
          <w:color w:val="000000"/>
          <w:sz w:val="18"/>
          <w:shd w:fill="FFFFFF" w:val="clear"/>
        </w:rPr>
        <w:t xml:space="preserve">month periods ended September 30, 2023 </w:t>
      </w:r>
      <w:r>
        <w:rPr>
          <w:rFonts w:ascii="Times New Roman;sans-serif" w:hAnsi="Times New Roman;sans-serif"/>
          <w:b w:val="false"/>
          <w:color w:val="000000"/>
          <w:sz w:val="18"/>
        </w:rPr>
        <w:t xml:space="preserve">and 2022, such payments totaled approximately $33.9 million and $22.7 million, respectively. Payables associated with such arrangements totaled approximately $2.6 million as of both September 30, 2023 and December 31, 2022. Revenue from such related party arrangements totaled approximately $3.5 million and $2.4 million for the three month periods ended September 30, 2023 and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pPr>
      <w:r>
        <w:rPr>
          <w:rFonts w:ascii="Times New Roman;sans-serif" w:hAnsi="Times New Roman;sans-serif"/>
          <w:b w:val="false"/>
          <w:color w:val="000000"/>
          <w:sz w:val="18"/>
        </w:rPr>
        <w:t>respectively, and for the nine</w:t>
      </w:r>
      <w:r>
        <w:rPr>
          <w:color w:val="000000"/>
          <w:shd w:fill="FFFFFF" w:val="clear"/>
        </w:rPr>
        <w:t xml:space="preserve"> </w:t>
      </w:r>
      <w:r>
        <w:rPr>
          <w:rFonts w:ascii="Times New Roman;sans-serif" w:hAnsi="Times New Roman;sans-serif"/>
          <w:b w:val="false"/>
          <w:color w:val="000000"/>
          <w:sz w:val="18"/>
          <w:shd w:fill="FFFFFF" w:val="clear"/>
        </w:rPr>
        <w:t xml:space="preserve">month periods ended September 30, 2023 </w:t>
      </w:r>
      <w:r>
        <w:rPr>
          <w:rFonts w:ascii="Times New Roman;sans-serif" w:hAnsi="Times New Roman;sans-serif"/>
          <w:b w:val="false"/>
          <w:color w:val="000000"/>
          <w:sz w:val="18"/>
        </w:rPr>
        <w:t xml:space="preserve">and 2022, totaled approximately $10.9 million and $7.4 million, respectively. Related amounts receivable totaled approximately $1.0 million and $3.2 million as of September 30, 2023 and December 31, 2022, respectively. </w:t>
      </w:r>
    </w:p>
    <w:p>
      <w:pPr>
        <w:pStyle w:val="TextBody"/>
        <w:bidi w:val="0"/>
        <w:spacing w:lineRule="auto" w:line="288" w:before="120" w:after="283"/>
        <w:ind w:left="0" w:right="0" w:firstLine="720"/>
        <w:jc w:val="both"/>
        <w:rPr/>
      </w:pPr>
      <w:r>
        <w:rPr>
          <w:rFonts w:ascii="Times New Roman;sans-serif" w:hAnsi="Times New Roman;sans-serif"/>
          <w:b w:val="false"/>
          <w:color w:val="000000"/>
          <w:sz w:val="18"/>
        </w:rPr>
        <w:t>The Company rents and leases equipment and purchases certain supplies and servicing from CCI. Juan Carlos Mas, who is the brother of Jorge Mas, Chairman of MasTec’s Board of Directors, and José R. Mas, MasTec’s Chief Executive Officer, serves as the chairman of CCI, and a member of management of a MasTec subsidiary and an entity that is owned by the Mas family are minority owners. For the three month periods ended September 30, 2023 and 2022, MasTec paid CCI approximately $1.2 million and $1.1 million, respectively, related to this activity, and for the nine</w:t>
      </w:r>
      <w:r>
        <w:rPr>
          <w:color w:val="000000"/>
          <w:shd w:fill="FFFFFF" w:val="clear"/>
        </w:rPr>
        <w:t xml:space="preserve"> </w:t>
      </w:r>
      <w:r>
        <w:rPr>
          <w:rFonts w:ascii="Times New Roman;sans-serif" w:hAnsi="Times New Roman;sans-serif"/>
          <w:b w:val="false"/>
          <w:color w:val="000000"/>
          <w:sz w:val="18"/>
          <w:shd w:fill="FFFFFF" w:val="clear"/>
        </w:rPr>
        <w:t xml:space="preserve">month periods ended September 30, 2023 </w:t>
      </w:r>
      <w:r>
        <w:rPr>
          <w:rFonts w:ascii="Times New Roman;sans-serif" w:hAnsi="Times New Roman;sans-serif"/>
          <w:b w:val="false"/>
          <w:color w:val="000000"/>
          <w:sz w:val="18"/>
        </w:rPr>
        <w:t xml:space="preserve">and 2022, MasTec paid approximately $2.5 million and $2.9 million, respectively. Amounts payable to CCI totaled approximately $4.6 million and $0.6 million as of September 30, 2023 and December 31, 2022, respectively. The Company has also rented equipment to CCI. Revenue from equipment rentals to CCI totaled approximately $0.2 million for both the three and nine month periods ended </w:t>
      </w:r>
      <w:r>
        <w:rPr>
          <w:rFonts w:ascii="Times New Roman;sans-serif" w:hAnsi="Times New Roman;sans-serif"/>
          <w:b w:val="false"/>
          <w:color w:val="000000"/>
          <w:sz w:val="18"/>
          <w:shd w:fill="FFFFFF" w:val="clear"/>
        </w:rPr>
        <w:t>September 30, 2022</w:t>
      </w:r>
      <w:r>
        <w:rPr>
          <w:rFonts w:ascii="Times New Roman;sans-serif" w:hAnsi="Times New Roman;sans-serif"/>
          <w:b w:val="false"/>
          <w:color w:val="000000"/>
          <w:sz w:val="18"/>
        </w:rPr>
        <w:t>. As of December 31, 2022, related amounts receivable were de minimis.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MasTec has a subcontracting arrangement with an entity for the performance of construction services, the minority owners of which include an entity controlled by Jorge Mas and José R. Mas, along with two members of management of a MasTec subsidiary. For the three month periods ended September 30, 2023 and 2022, MasTec incurred subcontracting expenses in connection with this arrangement of approximately $2.7 million and $0.1 million, respectively, and for the nine month periods ended September 30, 2023 and 2022, MasTec incurred approximately $3.1 million and $0.2 million, respectively, of such subcontracting expenses. Related amounts payable totaled approximately $2.5 million as of September 30, 2023, and as of December 31, 2022, such payables were de minimis.</w:t>
      </w:r>
    </w:p>
    <w:p>
      <w:pPr>
        <w:pStyle w:val="TextBody"/>
        <w:bidi w:val="0"/>
        <w:spacing w:lineRule="auto" w:line="288" w:before="120" w:after="283"/>
        <w:ind w:left="0" w:right="0" w:firstLine="720"/>
        <w:jc w:val="both"/>
        <w:rPr/>
      </w:pPr>
      <w:r>
        <w:rPr>
          <w:rFonts w:ascii="Times New Roman;sans-serif" w:hAnsi="Times New Roman;sans-serif"/>
          <w:b w:val="false"/>
          <w:color w:val="000000"/>
          <w:sz w:val="18"/>
        </w:rPr>
        <w:t>MasTec has a leasing arrangement for an aircraft that is owned by an entity that Jorge Mas owns. For both the three month periods ended September 30, 2023 and 2022, MasTec paid approximately $0.7 million related to this leasing arrangement, and for the nine</w:t>
      </w:r>
      <w:r>
        <w:rPr>
          <w:color w:val="000000"/>
          <w:shd w:fill="FFFFFF" w:val="clear"/>
        </w:rPr>
        <w:t xml:space="preserve"> </w:t>
      </w:r>
      <w:r>
        <w:rPr>
          <w:rFonts w:ascii="Times New Roman;sans-serif" w:hAnsi="Times New Roman;sans-serif"/>
          <w:b w:val="false"/>
          <w:color w:val="000000"/>
          <w:sz w:val="18"/>
          <w:shd w:fill="FFFFFF" w:val="clear"/>
        </w:rPr>
        <w:t xml:space="preserve">month periods ended September 30, 2023 </w:t>
      </w:r>
      <w:r>
        <w:rPr>
          <w:rFonts w:ascii="Times New Roman;sans-serif" w:hAnsi="Times New Roman;sans-serif"/>
          <w:b w:val="false"/>
          <w:color w:val="000000"/>
          <w:sz w:val="18"/>
        </w:rPr>
        <w:t>and 2022, such payments totaled approximately $2.0 million and $1.9 million, respectively.</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MasTec has performed construction services on behalf of a professional Miami soccer franchise (the “Franchise”) in which Jorge Mas and José R. Mas are majority owners. Services provided by MasTec have included the construction of a soccer facility and stadium as well as wireless infrastructure services. Construction services related to site preparation for a new soccer complex began in the third quarter of 2023. For the three and nine month periods ended September 30, 2023, MasTec charged approximately $4.6 million and $4.8 million, respectively, under these arrangements, and related amounts receivable totaled approximately $4.8 million as of September 30, 2023. Payments for other expenses related to the Franchise for the three month periods ended September 30, 2023 and 2022 totaled approximately $0.3 million and $0.1 million, respectively, and for the nine month periods ended September 30, 2023 and 2022, totaled approximately $0.9 million and $0.4 million, respectively. </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MasTec has a subcontracting arrangement to perform construction services for an entity, in which José R. Mas has a minority interest, and of which a member of management of a MasTec subsidiary owns the remaining interest. For the three month periods ended September 30, 2023 and 2022, revenue recognized by MasTec under this arrangement totaled approximately $42.7 million and $38.0 million, respectively, and totaled approximately $120.6 million and $98.7 million, respectively, for the nine month periods ended September 30, 2023 and 2022. As of September 30, 2023 and December 31, 2022, related amounts receivable totaled approximately $59.1 million and $42.0 million, respectively. MasTec also pays a management fee to this entity in connection with this subcontracting arrangement. Under a separate arrangement, this entity performs certain construction services for MasTec. For the three month periods ended September 30, 2023 and 2022, MasTec incurred approximately $1.7 million and $0.4 million, respectively, for management fees and subcontracting expenses under these arrangements, and incurred approximately $2.9 million and $0.9 million, respectively, under these arrangements for the nine month periods ended September 30, 2023 and 2022. As of September 30, 2023 and December 31, 2022, related amounts payable totaled approximately $0.6 million and $0.3 million, respectively.</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From time to time, the Company pays amounts on behalf of or to the former owners of acquired businesses, which, under the provisions of the related purchase agreements, the former owners are obligated to repay. The Company paid $0.1 million of such amounts during both the three month periods ended September 30, 2023 and 2022. For the nine month periods ended September 30, 2023 and 2022, such payments totaled approximately $0.2 million and $1.5 million, respectively. Amounts receivable for such payments, which are expected to be settled under customary terms associated with the related purchase agreement, totaled approximately $2.2 million and $2.0 million as of September 30, 2023 and December 31, 2022, respectively. </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addition, the Company has a subcontracting arrangement with an entity in which it has a 25% interest. The Company’s interest in this entity is accounted for as an equity method investment. For the three and nine month periods ended September 30, 2023, the Company made equity contributions of approximately $0.1 million and $3.7 million, respectively, to this entity, of which $0.1 million and $0.3 million, respectively, were paid in cash. For the three and nine month periods ended September 30, 2022, the Company made equity contributions to this entity of approximately $0.1 million and $0.6 million, respectively. As of September 30, 2023 and December 31, 2022, the Company’s net investment in this entity was a liability of approximately $1.1 million and $0.2 million, respectively, which net amount included approximately $1.1 million of deferred revenue as of September 30, 2023, and $2.3 million of accounts receivable, net, less deferred revenue, as of December 31, 2022, related to the subcontracting arrangement as of the respective periods. Additionally, the Company has certain arrangements with an entity in which members of management have an ownership interest, including a fee arrangement in conjunction with a $15.0 million letter of credit issued by the Company on behalf of this entity. Income recognized in connection with these arrangements totaled approximately $0.2 million for both the three month periods ended September 30, 2023 and 2022, and totaled approximately $0.6 million for both the nine month periods ended September 30, 2023 and 2022. As of September 30, 2023 and December 31, 2022, related amounts receivable totaled $0.2 million and $0.4 million, respectively.</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2018, the Company acquired a construction management firm specializing in steel building systems, of which Juan Carlos Mas was a minority owner at the time of acquisition. In the second quarter of 2023, the Company paid $16.1 million of contingent consideration in connection with the finalization of the earn-out arrangement related to this acquisition, as calculated under the terms of the purchase agreement. Approximately 25% of this earn-out payment was paid to Juan Carlos Mas, consistent with the terms of the purchase agreement.</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Non-controlling interests in entities consolidated by the Company represent ownership interests held by members of management of certain of the Company’s subsidiaries, primarily in the Company’s Oil and Gas segment, including the ownership interests in two entities that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acquired in the second quarter of 2023. See Note 3 - Acquisitions, Goodwill and Other Intangible Assets, Net for additional information. In the first quarter of 2023, the Company acquired the remaining 15% equity interests in one of its subsidiaries, which interests were previously accounted for as non-controlling interests, from two members of subsidiary management for $10.0 million in cash, plus 120,000 shares of MasTec common stock, valued at approximately $11.6 million.</w:t>
      </w:r>
    </w:p>
    <w:p>
      <w:pPr>
        <w:pStyle w:val="TextBody"/>
        <w:bidi w:val="0"/>
        <w:spacing w:lineRule="auto" w:line="288" w:before="120" w:after="283"/>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Split Dollar Agreements</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MasTec has split dollar life insurance agreements with trusts, for one of which Jorge Mas is a trustee, and for the other of which José R. Mas is a trustee. For the three month periods ended September 30, 2023 and 2022, the Company paid $0.2 million and $0.6 million, respectively, in connection with the agreements for Jorge Mas, and no payments were made in connection with such agreements for José R. Mas in either of the three month periods ended September 30, 2023 or 2022. For the nine month periods ended September 30, 2023 and 2022, the Company paid $0.7 million and $1.1 million, respectively, in connection with the agreements for Jorge Mas, and for both the nine month periods ended September 30, 2023 and 2022, paid $0.7 million in connection with such agreements for José R. Mas. As of September 30, 2023 and December 31, 2022, life insurance assets associated with these agreements totaled approximately $27.2 million and $25.8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1440"/>
        <w:jc w:val="left"/>
        <w:rPr>
          <w:rFonts w:ascii="Times New Roman;sans-serif" w:hAnsi="Times New Roman;sans-serif"/>
          <w:b/>
          <w:color w:val="000000"/>
          <w:sz w:val="18"/>
        </w:rPr>
      </w:pPr>
      <w:r>
        <w:rPr>
          <w:rFonts w:ascii="Times New Roman;sans-serif" w:hAnsi="Times New Roman;sans-serif"/>
          <w:b/>
          <w:color w:val="000000"/>
          <w:sz w:val="18"/>
        </w:rPr>
        <w:t>CAUTIONARY STATEMENT REGARDING FORWARD-LOOKING STATEMENTS</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This report contains forward-looking statements within the meaning of the Private Securities Litigation Reform Act of 1995. These forward-looking statements are not historical facts but are the intent, belief, or current expectations of our business and industry and the assumptions upon which these statements are based. While management believes that these forward-looking statements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dispositions or other strategic arrangements. Words such as “anticipates,” “expects,” “intends,” “will,” “could,” “would,” “should,” “may,” “plans,” “believes,” “seeks,” “estimates,” “forecasts,” “targets” and variations of these words and negatives thereof and similar expressions are intended to identify forward-looking statements. These statements are not guarantees of future performance and are subject to risks, uncertainties, assumptions and other factors, some of which are beyond our control, are difficult to predict, and could cause actual results to differ materially from those expressed or forecasted in the forward-looking statements. Additionally, many of these risks and uncertainties could be amplified by the potential effects of general economic and market conditions, including levels of inflation and market interest rates, geopolitical events, market uncertainty and/or volatility.</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These risks and uncertainties include those described in “Management’s Discussion and Analysis of Financial Condition and Results of Operations,” and elsewhere in this report and in our 2022 Annual Report on Form 10-K (“2022 Form 10-K”), including those described under “Cautionary Statement Regarding Forward-Looking Statements” and “Risk Factors,” as updated by Item 1A, “Risk Factors” in this report and other filings we make with the SEC. Forward-looking statements that were true at the time made may ultimately prove to be incorrect or false. Readers are cautioned to not place undue reliance on forward-looking statements, which reflect management’s view only as of the date of this report. We undertake no obligation to update or revise forward-looking statements to reflect changed assumptions, the occurrence of unanticipated events or changes to future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ans-serif" w:hAnsi="Times New Roman;sans-serif"/>
          <w:b/>
          <w:color w:val="000000"/>
          <w:sz w:val="18"/>
        </w:rPr>
      </w:pPr>
      <w:r>
        <w:rPr>
          <w:rFonts w:ascii="Times New Roman;sans-serif" w:hAnsi="Times New Roman;sans-serif"/>
          <w:b/>
          <w:color w:val="000000"/>
          <w:sz w:val="18"/>
        </w:rPr>
        <w:t>ITEM 2.     MANAGEMENT’S DISCUSSION AND ANALYSIS OF FINANCIAL CONDITION AND RESULTS OF OPERATIONS</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is a discussion and analysis of our business, financial condition and results of operations as of and for the three and nine month periods ended September 30, 2023 and 2022. This discussion and analysis should be read in conjunction with our consolidated financial statements and notes thereto in Item 1 of this Quarterly Report on Form 10-Q (this “Form 10-Q”), and the audited consolidated financial statements, accompanying notes and Management’s Discussion and Analysis of Financial Condition and Results of Operations (“MD&amp;A”) contained in our 2022 Form 10-K. In this MD&amp;A, “$” means U.S. dollars unless specified otherwise.</w:t>
      </w:r>
    </w:p>
    <w:p>
      <w:pPr>
        <w:pStyle w:val="TextBody"/>
        <w:bidi w:val="0"/>
        <w:spacing w:lineRule="auto" w:line="288" w:before="120" w:after="120"/>
        <w:jc w:val="both"/>
        <w:rPr>
          <w:rFonts w:ascii="Times New Roman;sans-serif" w:hAnsi="Times New Roman;sans-serif"/>
          <w:b/>
          <w:color w:val="000000"/>
          <w:sz w:val="18"/>
        </w:rPr>
      </w:pPr>
      <w:r>
        <w:rPr>
          <w:rFonts w:ascii="Times New Roman;sans-serif" w:hAnsi="Times New Roman;sans-serif"/>
          <w:b/>
          <w:color w:val="000000"/>
          <w:sz w:val="18"/>
        </w:rPr>
        <w:t>General Economic, Market and Regulatory Conditions</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We have experienced, and may continue to experience, direct and indirect negative effects on our business and operations from negative economic, market and regulatory conditions, including the current level of market interest rates, continuing inflationary effects on the cost of fuel, labor and materials; supply chain disruptions; uncertainty related to the implementation and pace of spending under governmental programs and initiatives related to infrastructure and other industrial investment, delays and uncertainty related to project permitting and other regulatory matters or uncertainty; climate, environmental and sustainability-related matters; public health matters; changes in technology, tax and other incentives; and potential market volatility that could negatively affect demand for future projects, and/or delay existing project timing or cause increased project costs. </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We expect the remainder of 2023 and the foreseeable future to continue to be a dynamic macroeconomic environment, with elevated market interest rates and continuing, but moderating levels of cost inflation and potential market volatility, any or all of which could adversely affect our costs and customer demand. These conditions could affect the cost of capital of both us and our customers, as well as our customers’ plans for capital investments and ongoing maintenance expenditures, which could negatively affect demand for our services. The extent to which general economic, market and regulatory conditions could affect our business, operations and financial results is uncertain as it will depend upon numerous evolving factors that we may neither be able to accurately predict nor quantify with specificity, including with respect to the effects of ongoing and recent geopolitical events, such as the political unrest and military conflicts in the Middle East and Ukraine, which could potentially increase volatility and uncertainty in the energy and capital markets. </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believe that our financial position, cash flows and operational strengths will enable us to manage the current uncertainties resulting from general economic, market and regulatory conditions. We carefully manage our liquidity and monitor any potential effects from changing economic, market and regulatory conditions on our financial results, cash flows and/or working capital and will take appropriate actions in efforts to mitigate any impacts.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18"/>
        </w:rPr>
      </w:pPr>
      <w:r>
        <w:rPr>
          <w:rFonts w:ascii="Times New Roman;sans-serif" w:hAnsi="Times New Roman;sans-serif"/>
          <w:b/>
          <w:color w:val="000000"/>
          <w:sz w:val="18"/>
        </w:rPr>
        <w:t>Business Overview</w:t>
      </w:r>
    </w:p>
    <w:p>
      <w:pPr>
        <w:pStyle w:val="TextBody"/>
        <w:bidi w:val="0"/>
        <w:spacing w:lineRule="auto" w:line="288" w:before="120" w:after="283"/>
        <w:ind w:left="0" w:right="0" w:firstLine="720"/>
        <w:jc w:val="both"/>
        <w:rPr/>
      </w:pPr>
      <w:r>
        <w:rPr>
          <w:rFonts w:ascii="Times New Roman;sans-serif" w:hAnsi="Times New Roman;sans-serif"/>
          <w:b w:val="false"/>
          <w:color w:val="000000"/>
          <w:sz w:val="18"/>
        </w:rPr>
        <w:t>We are a leading infrastructure construction company operating mainly throughout North America across a range of industries. Our primary activities include the engineering, building, installation, maintenance and upgrade of communications, energy, utility and other infrastructure, such as: power delivery services, including transmission, distribution, environmental planning and compliance; wireless, wireline/fiber and customer fulfillment activities; power generation, primarily from clean energy and renewable sources; pipeline infrastructure, including natural gas, carbon capture sequestration, water and pipeline integrity services; heavy civil; industrial infrastructure, including roads, bridges and rail; and environmental remediation services. Our customers are primarily in these industries. Including our predecessor companies, we have been in business for over 90 years. For the twelve month period ended September 30, 2023, we had an average of approxi</w:t>
      </w:r>
      <w:r>
        <w:rPr>
          <w:rFonts w:ascii="Times New Roman;sans-serif" w:hAnsi="Times New Roman;sans-serif"/>
          <w:b w:val="false"/>
          <w:color w:val="000000"/>
          <w:sz w:val="18"/>
          <w:shd w:fill="FFFFFF" w:val="clear"/>
        </w:rPr>
        <w:t xml:space="preserve">mately 830 locations and 34,000 employees, respectively, and as of September 30, 2023, we had approximately 850 locations and 37,000 employees, respectively. We </w:t>
      </w:r>
      <w:r>
        <w:rPr>
          <w:rFonts w:ascii="Times New Roman;sans-serif" w:hAnsi="Times New Roman;sans-serif"/>
          <w:b w:val="false"/>
          <w:color w:val="000000"/>
          <w:sz w:val="18"/>
        </w:rPr>
        <w:t>offer our services under the MasTec</w:t>
      </w:r>
      <w:r>
        <w:rPr>
          <w:rFonts w:ascii="Times New Roman;sans-serif" w:hAnsi="Times New Roman;sans-serif"/>
          <w:b w:val="false"/>
          <w:color w:val="000000"/>
          <w:sz w:val="12"/>
        </w:rPr>
        <w:t xml:space="preserve">® </w:t>
      </w:r>
      <w:r>
        <w:rPr>
          <w:rFonts w:ascii="Times New Roman;sans-serif" w:hAnsi="Times New Roman;sans-serif"/>
          <w:b w:val="false"/>
          <w:color w:val="000000"/>
          <w:sz w:val="18"/>
        </w:rPr>
        <w:t>and other service marks and are ranked among the Top 400 Contractors by Engineering News-Record.</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We provide our services to a diversified base of customers and a significant portion of our services are provided under master service and other service agreements, which are generally multi-year agreements. The remainder of our work is generated pursuant to contracts for specific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projects or jobs that require the construction or installation of an entire infrastructure system or specified units within an infrastructure system.</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manage our operations under five operating segments, which represent our five reportable segments: (1) Communications; (2) Clean Energy and Infrastructure; (3) Oil and Gas; (4) Power Delivery; and (5) Other. This structure is generally focused on broad end-user markets for our labor-based construction services. See Note 13 - Segments and Related Information and Note 14 - Commitments and Contingencies in the notes to the consolidated financial statements, which are incorporated by reference, for additional information regarding our segment reporting and significant customer concentrations.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18"/>
        </w:rPr>
      </w:pPr>
      <w:r>
        <w:rPr>
          <w:rFonts w:ascii="Times New Roman;sans-serif" w:hAnsi="Times New Roman;sans-serif"/>
          <w:b/>
          <w:color w:val="000000"/>
          <w:sz w:val="18"/>
        </w:rPr>
        <w:t xml:space="preserve">Backlog </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Estimated backlog represents the amount of revenue we expect to realize over the next 18 months from future work on uncompleted construction contracts, including new contracts under which work has not begun, as well as revenue from change orders and renewal options. Our estimated backlog also includes amounts under master service and other service agreements and our proportionate share of estimated revenue from proportionately consolidated non-controlled contractual joint ventures. Estimated backlog for work under master service and other service agreements is determined based on historical trends, anticipated seasonal impacts, experience from similar projects and estimates of customer demand based on communications with our customers. Based on current expectations of our customers’ requirements, we anticipate that we will realize approximately 26% of our estimated September 30, 2023 backlog in 2023. The following table presents 18-month estimated backlog by reportable segment as of the dates indicated:</w:t>
      </w:r>
    </w:p>
    <w:tbl>
      <w:tblPr>
        <w:tblW w:w="6748" w:type="dxa"/>
        <w:jc w:val="left"/>
        <w:tblInd w:w="0" w:type="dxa"/>
        <w:tblLayout w:type="fixed"/>
        <w:tblCellMar>
          <w:top w:w="28" w:type="dxa"/>
          <w:left w:w="28" w:type="dxa"/>
          <w:bottom w:w="28" w:type="dxa"/>
          <w:right w:w="28" w:type="dxa"/>
        </w:tblCellMar>
      </w:tblPr>
      <w:tblGrid>
        <w:gridCol w:w="976"/>
        <w:gridCol w:w="860"/>
        <w:gridCol w:w="863"/>
        <w:gridCol w:w="247"/>
        <w:gridCol w:w="815"/>
        <w:gridCol w:w="137"/>
        <w:gridCol w:w="109"/>
        <w:gridCol w:w="109"/>
        <w:gridCol w:w="109"/>
        <w:gridCol w:w="196"/>
        <w:gridCol w:w="646"/>
        <w:gridCol w:w="109"/>
        <w:gridCol w:w="109"/>
        <w:gridCol w:w="109"/>
        <w:gridCol w:w="109"/>
        <w:gridCol w:w="245"/>
        <w:gridCol w:w="808"/>
        <w:gridCol w:w="192"/>
      </w:tblGrid>
      <w:tr>
        <w:trPr/>
        <w:tc>
          <w:tcPr>
            <w:tcW w:w="97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Reportable Segment (in millions):</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br/>
              <w:t>2022</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5,024 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Clean Energy and Infrastructure</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Oil and Gas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 Delivery</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18-month backlog</w:t>
            </w:r>
          </w:p>
        </w:tc>
        <w:tc>
          <w:tcPr>
            <w:tcW w:w="2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12,490 </w:t>
            </w:r>
          </w:p>
        </w:tc>
        <w:tc>
          <w:tcPr>
            <w:tcW w:w="1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13,442 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11,227 </w:t>
            </w:r>
          </w:p>
        </w:tc>
        <w:tc>
          <w:tcPr>
            <w:tcW w:w="1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of September 30, 2023, 56% of our backlog is estimated to be attributable to amounts under master service or other service agreements, pursuant to which our customers are not contractually committed to purchase a minimum amount of services. Most of these agreements can be canceled on short or no advance notice. Timing of revenue for construction and installation projects included in our backlog can be subject to change as a result of customer, regulatory or other delays or cancellations, including from factors discussed above in “General Economic, Market and Regulatory Conditions.” These effects, among others, could cause estimated revenue to be realized in periods later than originally expected, or not at all. We occasionally experience postponements, cancellations and reductions in expected future work due to these effects and/or other factors. There can be no assurance as to our customers’ requirements or that actual results will be consistent with the estimates included in our forecasts. As a result, our backlog as of any particular date is an uncertain indicator of future revenue and earnings.</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Backlog is a common measurement used in our industry. Our methodology for determining backlog may not, however, be comparable to the methodologies used by others. Backlog differs from the amount of our remaining performance obligations, which are described in Note 1 - Business, Basis of Presentation and Significant Accounting Policies in the notes to the consolidated financial statements, which is incorporated by reference. As of September 30, 2023, total 18-month backlog differed from the amount of our remaining performance obligations due primarily to the inclusion of $7.1 billion of estimated future revenue under master service and other service agreements within our backlog estimates, as described above, and the exclusion of approximately $2.2 billion of remaining performance obligations and estimated future revenue under master service and other service agreements in excess of 18 months, which amount is not included in the backlog estimates above. Backlog expected to be realized in 2023 differs from the amount of remaining performance obligations expected to be recognized for the same period due primarily to the inclusion of approximately $0.7 billion of estimated future revenue under master service and other service agreements that is included within the related backlog estimate.</w:t>
      </w:r>
    </w:p>
    <w:p>
      <w:pPr>
        <w:pStyle w:val="TextBody"/>
        <w:bidi w:val="0"/>
        <w:spacing w:lineRule="auto" w:line="288" w:before="120" w:after="283"/>
        <w:jc w:val="both"/>
        <w:rPr>
          <w:rFonts w:ascii="Times New Roman;sans-serif" w:hAnsi="Times New Roman;sans-serif"/>
          <w:b/>
          <w:color w:val="000000"/>
          <w:sz w:val="18"/>
        </w:rPr>
      </w:pPr>
      <w:r>
        <w:rPr>
          <w:rFonts w:ascii="Times New Roman;sans-serif" w:hAnsi="Times New Roman;sans-serif"/>
          <w:b/>
          <w:color w:val="000000"/>
          <w:sz w:val="18"/>
        </w:rPr>
        <w:t>Economic, Industry and Market Factors</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closely monitor the effects of changes in economic, industry and market conditions on our customers, including the potential effects of the factors discussed above in “General Economic, Market and Regulatory Conditions,” which can affect demand for our customers’ products and services and can increase or decrease our customers’ planned capital and maintenance budgets in certain end-markets. Any of these factors and effects, as well as mergers and acquisitions or other business transactions among the customers we serve, could affect demand for our services, or the cost to provide such services and our profitability.</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Changes in demand in our customers’ businesses and fluctuations in market prices for energy sources, including oil and gas products, can affect demand for our services. In particular, such changes can affect the level of activity in energy generation projects, including from renewable energy sources, as well as pipeline construction and carbon capture projects. The availability of transportation and transmission capacity can also affect demand for our services, including energy generation, electric grid and pipeline construction projects. These factors, as well as the highly competitive nature of our industry, can result in changes in levels of activity, project mix, and/or the profitability of the services we provide. In the face of increased pricing pressure or other market developments, we strive to maintain our profit margins through productivity improvements, cost reduction programs and/or business streamlining efforts. Market developments, including rising market interest rates and inflationary effects on fuel, labor and materials costs, have had, and could continue to have, a negative effect on our profitability to the extent that we have not been, and in the future are not able, to pass these costs through to our customers. While we actively monitor economic, industry and market factors that could affect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2"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our business, we cannot predict the effect that changes in such factors could have on our future results of operations, liquidity and cash flows, and we may be unable to fully mitigate, or benefit from, such changes.</w:t>
      </w:r>
    </w:p>
    <w:p>
      <w:pPr>
        <w:pStyle w:val="TextBody"/>
        <w:bidi w:val="0"/>
        <w:spacing w:lineRule="auto" w:line="288" w:before="120" w:after="120"/>
        <w:jc w:val="both"/>
        <w:rPr>
          <w:rFonts w:ascii="Times New Roman;sans-serif" w:hAnsi="Times New Roman;sans-serif"/>
          <w:b/>
          <w:color w:val="000000"/>
          <w:sz w:val="18"/>
        </w:rPr>
      </w:pPr>
      <w:r>
        <w:rPr>
          <w:rFonts w:ascii="Times New Roman;sans-serif" w:hAnsi="Times New Roman;sans-serif"/>
          <w:b/>
          <w:color w:val="000000"/>
          <w:sz w:val="18"/>
        </w:rPr>
        <w:t>Effect of Seasonality and Cyclical Nature of Business</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Our revenue and results of operations are cyclical and can be subject to seasonal and other variations. For additional information regarding the effects of seasonality and the cyclical nature of our business, see Management’s Discussion and Analysis of Financial Condition and Results of Operations contained in our 2022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18"/>
        </w:rPr>
      </w:pPr>
      <w:r>
        <w:rPr>
          <w:rFonts w:ascii="Times New Roman;sans-serif" w:hAnsi="Times New Roman;sans-serif"/>
          <w:b/>
          <w:color w:val="000000"/>
          <w:sz w:val="18"/>
        </w:rPr>
        <w:t>Critical Accounting Estimates</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This discussion and analysis of our financial condition and results of operations is based upon our consolidated financial statements, which have been prepared in accordance with U.S. GAAP. The preparation of our consolidated financial statements requires the use of estimates and assumptions that affect the amounts reported in our consolidated financial statements and accompanying notes. A summary of our critical accounting estimates is included in Management’s Discussion and Analysis of Financial Condition and Results of Operations contained in our 2022 Form 10-K. We are required to make estimates and judgments in the preparation of our financial statements that affect the reported amounts of assets and liabilities, revenues and expenses and related disclosures. We continually review these estimates and their underlying assumptions to ensure they are appropriate for the circumstances. Changes in the estimates and assumptions we use could have a material impact on our financial results. During the three and nine month periods ended September 30, 2023, there were no material changes in our critical accounting estimates or policies.</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For details of our third quarter 2023 quarterly review for indicators of impairment, and the discussion relating to the IEA reporting unit, refer to Note 3 - Acquisitions, Goodwill and Other Intangible Assets, Net, in the notes to the consolidated financial statements, which is incorporated by reference. Based on our assessment as of September 30, 2023, the IEA reporting unit exceeded its carrying value by approximately 7%. The most significant assumptions used in our analysis to determine the fair value of the IEA reporting unit are the discount rate, revenue and profitability assumptions and the terminal growth rate. As of September 30, 2023, a 50 basis point increase in the discount rate would reduce the amount by which the IEA reporting unit exceeded its carrying value to approximately 4%; a 50 basis point decrease in the terminal growth rate would reduce this amount to approximately 5%; and a 1% reduction in the profitability assumption for all forecast years would reduce this amount to approximately 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18"/>
        </w:rPr>
      </w:pPr>
      <w:r>
        <w:rPr>
          <w:rFonts w:ascii="Times New Roman;sans-serif" w:hAnsi="Times New Roman;sans-serif"/>
          <w:b/>
          <w:color w:val="000000"/>
          <w:sz w:val="18"/>
        </w:rPr>
        <w:t>Results of Operations</w:t>
      </w:r>
    </w:p>
    <w:p>
      <w:pPr>
        <w:pStyle w:val="TextBody"/>
        <w:bidi w:val="0"/>
        <w:spacing w:lineRule="auto" w:line="288" w:before="120" w:after="283"/>
        <w:ind w:left="0" w:right="0" w:firstLine="450"/>
        <w:jc w:val="both"/>
        <w:rPr>
          <w:rFonts w:ascii="Times New Roman;sans-serif" w:hAnsi="Times New Roman;sans-serif"/>
          <w:b/>
          <w:i/>
          <w:color w:val="000000"/>
          <w:sz w:val="18"/>
        </w:rPr>
      </w:pPr>
      <w:r>
        <w:rPr>
          <w:rFonts w:ascii="Times New Roman;sans-serif" w:hAnsi="Times New Roman;sans-serif"/>
          <w:b/>
          <w:i/>
          <w:color w:val="000000"/>
          <w:sz w:val="18"/>
        </w:rPr>
        <w:t>Comparison of Quarterly Results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which may contain slight summation differences due to rounding, reflects our consolidated results of operations in dollar and percentage of revenue terms for the periods indicated (dollar amounts in millions). Our consolidated results of operations are not necessarily comparable from period to period due to the effect of recent acquisitions and certain other items, which are described in the comparison of results section below. In this discussion, “acquisition” results are defined as results from acquired businesses for the first twelve months following the dates of the respective acquisitions, with the balance of results for a particular item attributed to “organic” activity.</w:t>
      </w:r>
    </w:p>
    <w:tbl>
      <w:tblPr>
        <w:tblW w:w="10782" w:type="dxa"/>
        <w:jc w:val="left"/>
        <w:tblInd w:w="0" w:type="dxa"/>
        <w:tblLayout w:type="fixed"/>
        <w:tblCellMar>
          <w:top w:w="28" w:type="dxa"/>
          <w:left w:w="28" w:type="dxa"/>
          <w:bottom w:w="28" w:type="dxa"/>
          <w:right w:w="28" w:type="dxa"/>
        </w:tblCellMar>
      </w:tblPr>
      <w:tblGrid>
        <w:gridCol w:w="583"/>
        <w:gridCol w:w="315"/>
        <w:gridCol w:w="318"/>
        <w:gridCol w:w="196"/>
        <w:gridCol w:w="691"/>
        <w:gridCol w:w="109"/>
        <w:gridCol w:w="109"/>
        <w:gridCol w:w="109"/>
        <w:gridCol w:w="109"/>
        <w:gridCol w:w="278"/>
        <w:gridCol w:w="278"/>
        <w:gridCol w:w="256"/>
        <w:gridCol w:w="109"/>
        <w:gridCol w:w="109"/>
        <w:gridCol w:w="109"/>
        <w:gridCol w:w="196"/>
        <w:gridCol w:w="691"/>
        <w:gridCol w:w="109"/>
        <w:gridCol w:w="109"/>
        <w:gridCol w:w="109"/>
        <w:gridCol w:w="109"/>
        <w:gridCol w:w="278"/>
        <w:gridCol w:w="278"/>
        <w:gridCol w:w="256"/>
        <w:gridCol w:w="109"/>
        <w:gridCol w:w="109"/>
        <w:gridCol w:w="109"/>
        <w:gridCol w:w="196"/>
        <w:gridCol w:w="691"/>
        <w:gridCol w:w="109"/>
        <w:gridCol w:w="109"/>
        <w:gridCol w:w="109"/>
        <w:gridCol w:w="109"/>
        <w:gridCol w:w="278"/>
        <w:gridCol w:w="278"/>
        <w:gridCol w:w="256"/>
        <w:gridCol w:w="109"/>
        <w:gridCol w:w="109"/>
        <w:gridCol w:w="109"/>
        <w:gridCol w:w="196"/>
        <w:gridCol w:w="691"/>
        <w:gridCol w:w="109"/>
        <w:gridCol w:w="109"/>
        <w:gridCol w:w="109"/>
        <w:gridCol w:w="109"/>
        <w:gridCol w:w="278"/>
        <w:gridCol w:w="278"/>
        <w:gridCol w:w="301"/>
      </w:tblGrid>
      <w:tr>
        <w:trPr/>
        <w:tc>
          <w:tcPr>
            <w:tcW w:w="58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Months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Nine Months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Ended September 30, </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of revenue, excluding depreciation and amortization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of unconsolidated affiliates,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income taxes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benefit from income taxes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non-controlling interests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MasTec, Inc.</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3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3"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8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review our operating results by reportable segment. See Note 13 - Segments and Related Information in the notes to the consolidated financial statements, which is incorporated by reference. Our reportable segments are: (1) Communications; (2) Clean Energy and Infrastructure; (3) Oil and Gas; (4) Power Delivery; and (5) Other. Management’s review of segment results includes analyses of trends in revenue, EBITDA and EBITDA margin. EBITDA for segment reporting purposes is calculated consistently with our consolidated EBITDA calculation. See the discussion of our non-U.S. GAAP financial measures, including certain adjusted non-U.S. GAAP measures, as described below, following the comparison of results discussion. The following table presents revenue, EBITDA and EBITDA margin by segment for the periods indicated (dollar amounts in millions):</w:t>
      </w:r>
    </w:p>
    <w:tbl>
      <w:tblPr>
        <w:tblW w:w="15279" w:type="dxa"/>
        <w:jc w:val="left"/>
        <w:tblInd w:w="0" w:type="dxa"/>
        <w:tblLayout w:type="fixed"/>
        <w:tblCellMar>
          <w:top w:w="28" w:type="dxa"/>
          <w:left w:w="28" w:type="dxa"/>
          <w:bottom w:w="28" w:type="dxa"/>
          <w:right w:w="28" w:type="dxa"/>
        </w:tblCellMar>
      </w:tblPr>
      <w:tblGrid>
        <w:gridCol w:w="478"/>
        <w:gridCol w:w="419"/>
        <w:gridCol w:w="424"/>
        <w:gridCol w:w="196"/>
        <w:gridCol w:w="691"/>
        <w:gridCol w:w="109"/>
        <w:gridCol w:w="109"/>
        <w:gridCol w:w="109"/>
        <w:gridCol w:w="109"/>
        <w:gridCol w:w="196"/>
        <w:gridCol w:w="691"/>
        <w:gridCol w:w="109"/>
        <w:gridCol w:w="109"/>
        <w:gridCol w:w="109"/>
        <w:gridCol w:w="109"/>
        <w:gridCol w:w="196"/>
        <w:gridCol w:w="691"/>
        <w:gridCol w:w="109"/>
        <w:gridCol w:w="109"/>
        <w:gridCol w:w="109"/>
        <w:gridCol w:w="109"/>
        <w:gridCol w:w="196"/>
        <w:gridCol w:w="691"/>
        <w:gridCol w:w="109"/>
        <w:gridCol w:w="109"/>
        <w:gridCol w:w="109"/>
        <w:gridCol w:w="109"/>
        <w:gridCol w:w="196"/>
        <w:gridCol w:w="556"/>
        <w:gridCol w:w="109"/>
        <w:gridCol w:w="109"/>
        <w:gridCol w:w="109"/>
        <w:gridCol w:w="109"/>
        <w:gridCol w:w="233"/>
        <w:gridCol w:w="233"/>
        <w:gridCol w:w="256"/>
        <w:gridCol w:w="109"/>
        <w:gridCol w:w="109"/>
        <w:gridCol w:w="109"/>
        <w:gridCol w:w="196"/>
        <w:gridCol w:w="556"/>
        <w:gridCol w:w="109"/>
        <w:gridCol w:w="109"/>
        <w:gridCol w:w="109"/>
        <w:gridCol w:w="109"/>
        <w:gridCol w:w="233"/>
        <w:gridCol w:w="233"/>
        <w:gridCol w:w="256"/>
        <w:gridCol w:w="109"/>
        <w:gridCol w:w="109"/>
        <w:gridCol w:w="109"/>
        <w:gridCol w:w="196"/>
        <w:gridCol w:w="556"/>
        <w:gridCol w:w="109"/>
        <w:gridCol w:w="109"/>
        <w:gridCol w:w="109"/>
        <w:gridCol w:w="109"/>
        <w:gridCol w:w="233"/>
        <w:gridCol w:w="233"/>
        <w:gridCol w:w="256"/>
        <w:gridCol w:w="109"/>
        <w:gridCol w:w="109"/>
        <w:gridCol w:w="109"/>
        <w:gridCol w:w="196"/>
        <w:gridCol w:w="556"/>
        <w:gridCol w:w="109"/>
        <w:gridCol w:w="327"/>
        <w:gridCol w:w="466"/>
        <w:gridCol w:w="301"/>
      </w:tblGrid>
      <w:tr>
        <w:trPr/>
        <w:tc>
          <w:tcPr>
            <w:tcW w:w="47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6"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EBITDA and EBITDA Margin</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Months Ended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September 30,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Nine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Months Ended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7"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Months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Ended September 30,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Nine Months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Ended September 30, </w:t>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Segment:</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2023 </w:t>
            </w:r>
            <w:r>
              <w:rPr>
                <w:rFonts w:ascii="Times New Roman;sans-serif" w:hAnsi="Times New Roman;sans-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2022 </w:t>
            </w:r>
            <w:r>
              <w:rPr>
                <w:rFonts w:ascii="Times New Roman;sans-serif" w:hAnsi="Times New Roman;sans-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2023 </w:t>
            </w:r>
            <w:r>
              <w:rPr>
                <w:rFonts w:ascii="Times New Roman;sans-serif" w:hAnsi="Times New Roman;sans-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2022 </w:t>
            </w:r>
            <w:r>
              <w:rPr>
                <w:rFonts w:ascii="Times New Roman;sans-serif" w:hAnsi="Times New Roman;sans-serif"/>
                <w:b/>
                <w:color w:val="000000"/>
                <w:sz w:val="12"/>
              </w:rPr>
              <w:t>(a)</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Clean Energy and Infrastructure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Oil and Gas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 Delivery</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Eliminations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Total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Total</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3,257.1 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2,513.5 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8,715.9 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6,769.7 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3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6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NM - Percentage is not meaningful</w:t>
      </w:r>
    </w:p>
    <w:p>
      <w:pPr>
        <w:pStyle w:val="TextBody"/>
        <w:bidi w:val="0"/>
        <w:spacing w:lineRule="auto" w:line="288" w:before="60" w:after="180"/>
        <w:ind w:left="0" w:right="0" w:hanging="360"/>
        <w:jc w:val="both"/>
        <w:rPr/>
      </w:pPr>
      <w:r>
        <w:rPr>
          <w:rFonts w:ascii="Times New Roman;sans-serif" w:hAnsi="Times New Roman;sans-serif"/>
          <w:b w:val="false"/>
          <w:color w:val="000000"/>
          <w:sz w:val="16"/>
        </w:rPr>
        <w:t xml:space="preserve">(a)     For the three month period ended September 30, 2023, Communications, </w:t>
      </w:r>
      <w:r>
        <w:rPr>
          <w:rFonts w:ascii="Times New Roman;sans-serif" w:hAnsi="Times New Roman;sans-serif"/>
          <w:b w:val="false"/>
          <w:color w:val="000000"/>
          <w:sz w:val="16"/>
          <w:shd w:fill="FFFFFF" w:val="clear"/>
        </w:rPr>
        <w:t>Clean Energy and Infrastructure</w:t>
      </w:r>
      <w:r>
        <w:rPr>
          <w:color w:val="000000"/>
        </w:rPr>
        <w:t xml:space="preserve"> </w:t>
      </w:r>
      <w:r>
        <w:rPr>
          <w:rFonts w:ascii="Times New Roman;sans-serif" w:hAnsi="Times New Roman;sans-serif"/>
          <w:b w:val="false"/>
          <w:color w:val="000000"/>
          <w:sz w:val="16"/>
        </w:rPr>
        <w:t xml:space="preserve">and Power Delivery EBITDA included $4.8 million, $15.3 million and </w:t>
      </w:r>
      <w:r>
        <w:rPr>
          <w:rFonts w:ascii="Times New Roman;sans-serif" w:hAnsi="Times New Roman;sans-serif"/>
          <w:b w:val="false"/>
          <w:color w:val="000000"/>
          <w:sz w:val="16"/>
          <w:shd w:fill="FFFFFF" w:val="clear"/>
        </w:rPr>
        <w:t>$0.5 million</w:t>
      </w:r>
      <w:r>
        <w:rPr>
          <w:rFonts w:ascii="Times New Roman;sans-serif" w:hAnsi="Times New Roman;sans-serif"/>
          <w:b w:val="false"/>
          <w:color w:val="000000"/>
          <w:sz w:val="16"/>
        </w:rPr>
        <w:t xml:space="preserve">, respectively, of acquisition and integration costs related to our recent acquisitions, and Corporate EBITDA included $0.5 million of such costs, and, for the nine month period ended September 30, 2023, $18.3 million, $36.9 million, $2.5 million and $3.2 million, of such costs were included in EBITDA of the segments and Corporate, respectively. </w:t>
      </w:r>
      <w:r>
        <w:rPr>
          <w:rFonts w:ascii="Times New Roman;sans-serif" w:hAnsi="Times New Roman;sans-serif"/>
          <w:b w:val="false"/>
          <w:color w:val="000000"/>
          <w:sz w:val="16"/>
          <w:shd w:fill="FFFFFF" w:val="clear"/>
        </w:rPr>
        <w:t>For the three month period ended September 30, 2022, Communications, Oil and Gas, Power Delivery and Corporate EBITDA included $0.5 million, $1.1 million, $20.4 million and $11.2 million, of such acquisition and integration costs, respectively, and for the nine month period ended September 30, 2022, $2.4 million, $4.5 million, $34.5 million, and $18.0 million of such costs were included in EBITDA of the segments and Corporate, respectively.</w:t>
      </w:r>
    </w:p>
    <w:p>
      <w:pPr>
        <w:pStyle w:val="TextBody"/>
        <w:bidi w:val="0"/>
        <w:spacing w:lineRule="auto" w:line="288" w:before="240" w:after="283"/>
        <w:jc w:val="left"/>
        <w:rPr>
          <w:rFonts w:ascii="Times New Roman;sans-serif" w:hAnsi="Times New Roman;sans-serif"/>
          <w:b/>
          <w:color w:val="000000"/>
          <w:sz w:val="18"/>
        </w:rPr>
      </w:pPr>
      <w:r>
        <w:rPr>
          <w:rFonts w:ascii="Times New Roman;sans-serif" w:hAnsi="Times New Roman;sans-serif"/>
          <w:b/>
          <w:color w:val="000000"/>
          <w:sz w:val="18"/>
        </w:rPr>
        <w:t>Three Months Ended September 30, 2023 Compared to Three Months Ended September 30, 2022</w:t>
      </w:r>
    </w:p>
    <w:p>
      <w:pPr>
        <w:pStyle w:val="TextBody"/>
        <w:bidi w:val="0"/>
        <w:spacing w:lineRule="auto" w:line="288" w:before="180" w:after="283"/>
        <w:ind w:left="0" w:right="0" w:firstLine="360"/>
        <w:jc w:val="both"/>
        <w:rPr/>
      </w:pPr>
      <w:r>
        <w:rPr>
          <w:rFonts w:ascii="Times New Roman;sans-serif" w:hAnsi="Times New Roman;sans-serif"/>
          <w:b/>
          <w:i/>
          <w:color w:val="000000"/>
          <w:sz w:val="18"/>
        </w:rPr>
        <w:t>Revenue</w:t>
      </w:r>
      <w:r>
        <w:rPr>
          <w:rFonts w:ascii="Times New Roman;sans-serif" w:hAnsi="Times New Roman;sans-serif"/>
          <w:b/>
          <w:color w:val="000000"/>
          <w:sz w:val="18"/>
        </w:rPr>
        <w:t>.</w:t>
      </w:r>
      <w:r>
        <w:rPr>
          <w:color w:val="000000"/>
        </w:rPr>
        <w:t xml:space="preserve"> </w:t>
      </w:r>
      <w:r>
        <w:rPr>
          <w:rFonts w:ascii="Times New Roman;sans-serif" w:hAnsi="Times New Roman;sans-serif"/>
          <w:b w:val="false"/>
          <w:color w:val="000000"/>
          <w:sz w:val="18"/>
        </w:rPr>
        <w:t xml:space="preserve">For the three month period ended September 30, 2023, consolidated revenue totaled $3,257 million as compared with $2,514 million for the same period in 2022, an increase of $744 million, or 30%. Acquisitions contributed </w:t>
      </w:r>
      <w:r>
        <w:rPr>
          <w:rFonts w:ascii="Times New Roman;sans-serif" w:hAnsi="Times New Roman;sans-serif"/>
          <w:b w:val="false"/>
          <w:color w:val="000000"/>
          <w:sz w:val="18"/>
          <w:shd w:fill="FFFFFF" w:val="clear"/>
        </w:rPr>
        <w:t>$533 million</w:t>
      </w:r>
      <w:r>
        <w:rPr>
          <w:color w:val="000000"/>
        </w:rPr>
        <w:t xml:space="preserve"> </w:t>
      </w:r>
      <w:r>
        <w:rPr>
          <w:rFonts w:ascii="Times New Roman;sans-serif" w:hAnsi="Times New Roman;sans-serif"/>
          <w:b w:val="false"/>
          <w:color w:val="000000"/>
          <w:sz w:val="18"/>
        </w:rPr>
        <w:t>of increased revenue for the three month period ended September 30, 2023 and organic revenue increased by approx</w:t>
      </w:r>
      <w:r>
        <w:rPr>
          <w:rFonts w:ascii="Times New Roman;sans-serif" w:hAnsi="Times New Roman;sans-serif"/>
          <w:b w:val="false"/>
          <w:color w:val="000000"/>
          <w:sz w:val="18"/>
          <w:shd w:fill="FFFFFF" w:val="clear"/>
        </w:rPr>
        <w:t>imately $210 million</w:t>
      </w:r>
      <w:r>
        <w:rPr>
          <w:rFonts w:ascii="Times New Roman;sans-serif" w:hAnsi="Times New Roman;sans-serif"/>
          <w:b w:val="false"/>
          <w:color w:val="000000"/>
          <w:sz w:val="18"/>
        </w:rPr>
        <w:t>, or 8%, as compared with the same period in 2022. See below for details of revenue by segment.</w:t>
      </w:r>
    </w:p>
    <w:p>
      <w:pPr>
        <w:pStyle w:val="TextBody"/>
        <w:bidi w:val="0"/>
        <w:spacing w:lineRule="auto" w:line="288" w:before="120" w:after="283"/>
        <w:ind w:left="0" w:right="0" w:firstLine="720"/>
        <w:jc w:val="both"/>
        <w:rPr/>
      </w:pPr>
      <w:r>
        <w:rPr>
          <w:rFonts w:ascii="Times New Roman;sans-serif" w:hAnsi="Times New Roman;sans-serif"/>
          <w:b/>
          <w:i/>
          <w:color w:val="000000"/>
          <w:sz w:val="18"/>
        </w:rPr>
        <w:t>Communications Segment</w:t>
      </w:r>
      <w:r>
        <w:rPr>
          <w:rFonts w:ascii="Times New Roman;sans-serif" w:hAnsi="Times New Roman;sans-serif"/>
          <w:b/>
          <w:color w:val="000000"/>
          <w:sz w:val="18"/>
        </w:rPr>
        <w:t xml:space="preserve">. </w:t>
      </w:r>
      <w:r>
        <w:rPr>
          <w:rFonts w:ascii="Times New Roman;sans-serif" w:hAnsi="Times New Roman;sans-serif"/>
          <w:b w:val="false"/>
          <w:color w:val="000000"/>
          <w:sz w:val="18"/>
        </w:rPr>
        <w:t>Communications revenue was $824 million for the three month period ended September 30, 2023 as compared with $889 million for the same period in 2022, a decrease of $65 million, or 7%. Acquisitions contribute</w:t>
      </w:r>
      <w:r>
        <w:rPr>
          <w:rFonts w:ascii="Times New Roman;sans-serif" w:hAnsi="Times New Roman;sans-serif"/>
          <w:b w:val="false"/>
          <w:color w:val="000000"/>
          <w:sz w:val="18"/>
          <w:shd w:fill="FFFFFF" w:val="clear"/>
        </w:rPr>
        <w:t xml:space="preserve">d $48 million of </w:t>
      </w:r>
      <w:r>
        <w:rPr>
          <w:rFonts w:ascii="Times New Roman;sans-serif" w:hAnsi="Times New Roman;sans-serif"/>
          <w:b w:val="false"/>
          <w:color w:val="000000"/>
          <w:sz w:val="18"/>
        </w:rPr>
        <w:t>revenue for the three month period ended September 30, 2023, whereas organic revenue decreased by a</w:t>
      </w:r>
      <w:r>
        <w:rPr>
          <w:rFonts w:ascii="Times New Roman;sans-serif" w:hAnsi="Times New Roman;sans-serif"/>
          <w:b w:val="false"/>
          <w:color w:val="000000"/>
          <w:sz w:val="18"/>
          <w:shd w:fill="FFFFFF" w:val="clear"/>
        </w:rPr>
        <w:t xml:space="preserve">pproximately $113 million, </w:t>
      </w:r>
      <w:r>
        <w:rPr>
          <w:rFonts w:ascii="Times New Roman;sans-serif" w:hAnsi="Times New Roman;sans-serif"/>
          <w:b w:val="false"/>
          <w:color w:val="000000"/>
          <w:sz w:val="18"/>
        </w:rPr>
        <w:t>or 13%, as compared with the same period in 2022. The decrease in organic revenue was driven primarily by lower levels of wireless, wireline and install-to-the-home project activity due, in part, to the effect of macroeconomic conditions on project activity levels, reflecting delays driven, in part, by customers’ higher financing costs, offset, in part, by an increase in utility project work.</w:t>
      </w:r>
    </w:p>
    <w:p>
      <w:pPr>
        <w:pStyle w:val="TextBody"/>
        <w:bidi w:val="0"/>
        <w:spacing w:lineRule="auto" w:line="288" w:before="120" w:after="283"/>
        <w:ind w:left="0" w:right="0" w:firstLine="720"/>
        <w:jc w:val="both"/>
        <w:rPr/>
      </w:pPr>
      <w:r>
        <w:rPr>
          <w:rFonts w:ascii="Times New Roman;sans-serif" w:hAnsi="Times New Roman;sans-serif"/>
          <w:b/>
          <w:i/>
          <w:color w:val="000000"/>
          <w:sz w:val="18"/>
        </w:rPr>
        <w:t>Clean Energy and Infrastructure Segment</w:t>
      </w:r>
      <w:r>
        <w:rPr>
          <w:rFonts w:ascii="Times New Roman;sans-serif" w:hAnsi="Times New Roman;sans-serif"/>
          <w:b/>
          <w:color w:val="000000"/>
          <w:sz w:val="18"/>
        </w:rPr>
        <w:t xml:space="preserve">. </w:t>
      </w:r>
      <w:r>
        <w:rPr>
          <w:rFonts w:ascii="Times New Roman;sans-serif" w:hAnsi="Times New Roman;sans-serif"/>
          <w:b w:val="false"/>
          <w:color w:val="000000"/>
          <w:sz w:val="18"/>
        </w:rPr>
        <w:t>Clean Energy and Infrastructure revenue was $1,100 million for the three month period ended September 30, 2023 as compared with $563 million for the same period in 2022, an increase of $537 million, or 95%. Acquisitions contributed $485 million of revenue for the three month period ended September 30, 2023 and organic revenue increased by approximately $52 million, or 9%, as compared with the same period in 2022, due primarily to higher levels of renewable and heavy civil project activity due to timing of project work, offset, in part, by lower levels of certain industrial infrastructure project work.</w:t>
      </w:r>
    </w:p>
    <w:p>
      <w:pPr>
        <w:pStyle w:val="TextBody"/>
        <w:bidi w:val="0"/>
        <w:spacing w:lineRule="auto" w:line="288" w:before="120" w:after="283"/>
        <w:ind w:left="0" w:right="0" w:firstLine="720"/>
        <w:jc w:val="both"/>
        <w:rPr/>
      </w:pPr>
      <w:r>
        <w:rPr>
          <w:rFonts w:ascii="Times New Roman;sans-serif" w:hAnsi="Times New Roman;sans-serif"/>
          <w:b/>
          <w:i/>
          <w:color w:val="000000"/>
          <w:sz w:val="18"/>
        </w:rPr>
        <w:t>Oil and Gas Segment</w:t>
      </w:r>
      <w:r>
        <w:rPr>
          <w:rFonts w:ascii="Times New Roman;sans-serif" w:hAnsi="Times New Roman;sans-serif"/>
          <w:b/>
          <w:color w:val="000000"/>
          <w:sz w:val="18"/>
        </w:rPr>
        <w:t>.</w:t>
      </w:r>
      <w:r>
        <w:rPr>
          <w:color w:val="000000"/>
        </w:rPr>
        <w:t xml:space="preserve"> </w:t>
      </w:r>
      <w:r>
        <w:rPr>
          <w:rFonts w:ascii="Times New Roman;sans-serif" w:hAnsi="Times New Roman;sans-serif"/>
          <w:b w:val="false"/>
          <w:color w:val="000000"/>
          <w:sz w:val="18"/>
        </w:rPr>
        <w:t>Oil and Gas revenue was $672 million for the three month period ended September 30, 2023, as compared with $376 million for the same period in 2022, an increase of $297 million, or 79%, primarily due to higher levels of project activity, including large-diameter pipeline project work, offset, in part, by certain facilities and other infrastructure-related project work.</w:t>
      </w:r>
    </w:p>
    <w:p>
      <w:pPr>
        <w:pStyle w:val="TextBody"/>
        <w:bidi w:val="0"/>
        <w:spacing w:lineRule="auto" w:line="288" w:before="120" w:after="283"/>
        <w:ind w:left="0" w:right="0" w:firstLine="720"/>
        <w:jc w:val="both"/>
        <w:rPr/>
      </w:pPr>
      <w:r>
        <w:rPr>
          <w:rFonts w:ascii="Times New Roman;sans-serif" w:hAnsi="Times New Roman;sans-serif"/>
          <w:b/>
          <w:i/>
          <w:color w:val="000000"/>
          <w:sz w:val="18"/>
        </w:rPr>
        <w:t>Power Delivery Segment</w:t>
      </w:r>
      <w:r>
        <w:rPr>
          <w:rFonts w:ascii="Times New Roman;sans-serif" w:hAnsi="Times New Roman;sans-serif"/>
          <w:b/>
          <w:color w:val="000000"/>
          <w:sz w:val="18"/>
        </w:rPr>
        <w:t xml:space="preserve">. </w:t>
      </w:r>
      <w:r>
        <w:rPr>
          <w:rFonts w:ascii="Times New Roman;sans-serif" w:hAnsi="Times New Roman;sans-serif"/>
          <w:b w:val="false"/>
          <w:color w:val="000000"/>
          <w:sz w:val="18"/>
        </w:rPr>
        <w:t>Power Delivery revenue was $665 million for the three month period ended September 30, 2023, as compared with $688 million for the same period in 2022, a decrease of $23 million, or 3%, primarily due to lower levels of project activity, including for storm restoration services, certain facilities and other infrastructure-related project work, offset, in part, by an increase in transmission and substation-related project work.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4"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ind w:left="0" w:right="0" w:firstLine="360"/>
        <w:jc w:val="both"/>
        <w:rPr/>
      </w:pPr>
      <w:r>
        <w:rPr>
          <w:rFonts w:ascii="Times New Roman;sans-serif" w:hAnsi="Times New Roman;sans-serif"/>
          <w:b/>
          <w:i/>
          <w:color w:val="000000"/>
          <w:sz w:val="18"/>
        </w:rPr>
        <w:t>Costs of revenue, excluding depreciation and amortization.</w:t>
      </w:r>
      <w:r>
        <w:rPr>
          <w:color w:val="000000"/>
        </w:rPr>
        <w:t xml:space="preserve"> </w:t>
      </w:r>
      <w:r>
        <w:rPr>
          <w:rFonts w:ascii="Times New Roman;sans-serif" w:hAnsi="Times New Roman;sans-serif"/>
          <w:b w:val="false"/>
          <w:color w:val="000000"/>
          <w:sz w:val="18"/>
        </w:rPr>
        <w:t>Costs of revenue, excluding depreciation and amortization, increased by approximately $669 million, or 31%, to $2,857 million for the three month period ended September 30, 2023 from $2,188 million for the same period in 2022. Higher levels of revenue contributed an increase of $647 million in costs of revenue, excluding depreciation and amortization, and reduced productivity contributed an increase of approximately $22 million. Costs of revenue, excluding depreciation and amortization, as a percentage of revenue increased by approximately 70 basis points to 87.7% of revenue for the three month period ended September 30, 2023 from 87.0% of revenue for the same period in 2022. The basis point increase was primarily due to a combination of reduced project efficiencies within our Communications and Power Delivery segments and the effects of certain overhead costs incurred to maintain operating capacity in support of expected future project work, offset, in part, by improved productivity within our Oil and Gas and Clean Energy and Infrastructure segments and a decrease in certain acquisition and integration costs of approximately $19 million.</w:t>
      </w:r>
    </w:p>
    <w:p>
      <w:pPr>
        <w:pStyle w:val="TextBody"/>
        <w:bidi w:val="0"/>
        <w:spacing w:lineRule="auto" w:line="288" w:before="120" w:after="283"/>
        <w:ind w:left="0" w:right="0" w:firstLine="360"/>
        <w:jc w:val="both"/>
        <w:rPr/>
      </w:pPr>
      <w:r>
        <w:rPr>
          <w:rFonts w:ascii="Times New Roman;sans-serif" w:hAnsi="Times New Roman;sans-serif"/>
          <w:b/>
          <w:i/>
          <w:color w:val="000000"/>
          <w:sz w:val="18"/>
        </w:rPr>
        <w:t>Depreciation.</w:t>
      </w:r>
      <w:r>
        <w:rPr>
          <w:color w:val="000000"/>
        </w:rPr>
        <w:t xml:space="preserve"> </w:t>
      </w:r>
      <w:r>
        <w:rPr>
          <w:rFonts w:ascii="Times New Roman;sans-serif" w:hAnsi="Times New Roman;sans-serif"/>
          <w:b w:val="false"/>
          <w:color w:val="000000"/>
          <w:sz w:val="18"/>
        </w:rPr>
        <w:t xml:space="preserve">Depreciation was $115 million, or 3.5% of revenue, for the three month period ended September 30, 2023, as compared with $91 million, or 3.6% of revenue, for the same period in 2022, an increase of approximately $24 million, or 26%. Acquisitions contributed $12 million of depreciation for the three month period ended September 30, 2023, and organic depreciation increased by </w:t>
      </w:r>
      <w:r>
        <w:rPr>
          <w:rFonts w:ascii="Times New Roman;sans-serif" w:hAnsi="Times New Roman;sans-serif"/>
          <w:b w:val="false"/>
          <w:color w:val="000000"/>
          <w:sz w:val="18"/>
          <w:shd w:fill="FFFFFF" w:val="clear"/>
        </w:rPr>
        <w:t>$12 million</w:t>
      </w:r>
      <w:r>
        <w:rPr>
          <w:rFonts w:ascii="Times New Roman;sans-serif" w:hAnsi="Times New Roman;sans-serif"/>
          <w:b w:val="false"/>
          <w:color w:val="000000"/>
          <w:sz w:val="18"/>
        </w:rPr>
        <w:t>, or approximately 13%, due primarily to the effect of capital expenditures in 2022 in support of certain prior year growth initiatives and to address prior year supply chain disruption concerns, offset, in part, by a $2 million reduction in depreciation expense related to a change in the depreciable lives of certain assets to better align the respective assets’ lives with their expected useful lives. As a percentage of revenue, depreciation decreased by approximately 10 basis points, due primarily to higher levels of revenue.</w:t>
      </w:r>
    </w:p>
    <w:p>
      <w:pPr>
        <w:pStyle w:val="TextBody"/>
        <w:bidi w:val="0"/>
        <w:spacing w:lineRule="auto" w:line="288" w:before="120" w:after="283"/>
        <w:ind w:left="0" w:right="0" w:firstLine="360"/>
        <w:jc w:val="both"/>
        <w:rPr/>
      </w:pPr>
      <w:r>
        <w:rPr>
          <w:rFonts w:ascii="Times New Roman;sans-serif" w:hAnsi="Times New Roman;sans-serif"/>
          <w:b/>
          <w:i/>
          <w:color w:val="000000"/>
          <w:sz w:val="18"/>
        </w:rPr>
        <w:t>Amortization of intangible assets.</w:t>
      </w:r>
      <w:r>
        <w:rPr>
          <w:color w:val="000000"/>
        </w:rPr>
        <w:t xml:space="preserve"> </w:t>
      </w:r>
      <w:r>
        <w:rPr>
          <w:rFonts w:ascii="Times New Roman;sans-serif" w:hAnsi="Times New Roman;sans-serif"/>
          <w:b w:val="false"/>
          <w:color w:val="000000"/>
          <w:sz w:val="18"/>
        </w:rPr>
        <w:t>Amortization of intangible assets was $42 million, or 1.3% of revenue, for the three month period ended September 30, 2023, as compared with $28 million, or 1.1% of revenue, for the same period in 2022, an increase of $14 million, or approximately 51%. Acquisitions contributed approximately $14 million of amortization for the three month period ended September 30, 2023, and organic amortization was generally flat. As a percentage of revenue, amortization of intangible assets increased by approximately 20 basis points.</w:t>
      </w:r>
    </w:p>
    <w:p>
      <w:pPr>
        <w:pStyle w:val="TextBody"/>
        <w:bidi w:val="0"/>
        <w:spacing w:lineRule="auto" w:line="288" w:before="120" w:after="283"/>
        <w:ind w:left="0" w:right="0" w:firstLine="360"/>
        <w:jc w:val="both"/>
        <w:rPr/>
      </w:pPr>
      <w:r>
        <w:rPr>
          <w:rFonts w:ascii="Times New Roman;sans-serif" w:hAnsi="Times New Roman;sans-serif"/>
          <w:b/>
          <w:i/>
          <w:color w:val="000000"/>
          <w:sz w:val="18"/>
        </w:rPr>
        <w:t>General and administrative expenses</w:t>
      </w:r>
      <w:r>
        <w:rPr>
          <w:rFonts w:ascii="Times New Roman;sans-serif" w:hAnsi="Times New Roman;sans-serif"/>
          <w:b w:val="false"/>
          <w:i/>
          <w:color w:val="000000"/>
          <w:sz w:val="18"/>
        </w:rPr>
        <w:t>.</w:t>
      </w:r>
      <w:r>
        <w:rPr>
          <w:color w:val="000000"/>
        </w:rPr>
        <w:t xml:space="preserve"> </w:t>
      </w:r>
      <w:r>
        <w:rPr>
          <w:rFonts w:ascii="Times New Roman;sans-serif" w:hAnsi="Times New Roman;sans-serif"/>
          <w:b w:val="false"/>
          <w:color w:val="000000"/>
          <w:sz w:val="18"/>
        </w:rPr>
        <w:t xml:space="preserve">General and administrative expenses totaled $181 million, or 5.5% of revenue, for the three month period ended September 30, 2023, as compared with $125 million, or 5.0% of revenue, for the same period in 2022, an increase of approximately $56 million, or 44%. Acquisitions, including certain acquisition and integration costs, contributed $42 million of general and administrative expenses for the three month period ended September 30, 2023 and organic general and administrative expenses increased by approximately </w:t>
      </w:r>
      <w:r>
        <w:rPr>
          <w:rFonts w:ascii="Times New Roman;sans-serif" w:hAnsi="Times New Roman;sans-serif"/>
          <w:b w:val="false"/>
          <w:color w:val="000000"/>
          <w:sz w:val="18"/>
          <w:shd w:fill="FFFFFF" w:val="clear"/>
        </w:rPr>
        <w:t>$14 million</w:t>
      </w:r>
      <w:r>
        <w:rPr>
          <w:rFonts w:ascii="Times New Roman;sans-serif" w:hAnsi="Times New Roman;sans-serif"/>
          <w:b w:val="false"/>
          <w:color w:val="000000"/>
          <w:sz w:val="18"/>
        </w:rPr>
        <w:t>, or 11%, as compared with the same period in the prior year, primarily due to a reduction in gains on sales of assets, net, and increases in various administrative costs, including information technology expenses, as well as the effects of timing of legal and settlement matters. Total acquisition and integration costs included within general and administrative expenses increased to $18 million for the three month period ended September 30, 2023 from approximately $9 million for the same period in 2022. Overall, general and administrative expenses increased by approximately 60 basis points as a percentage of revenue for the three month period ended September 30, 2023 as compared with the same period in 2022.</w:t>
      </w:r>
    </w:p>
    <w:p>
      <w:pPr>
        <w:pStyle w:val="TextBody"/>
        <w:bidi w:val="0"/>
        <w:spacing w:lineRule="auto" w:line="288" w:before="120" w:after="283"/>
        <w:ind w:left="0" w:right="0" w:firstLine="360"/>
        <w:jc w:val="both"/>
        <w:rPr/>
      </w:pPr>
      <w:r>
        <w:rPr>
          <w:rFonts w:ascii="Times New Roman;sans-serif" w:hAnsi="Times New Roman;sans-serif"/>
          <w:b/>
          <w:i/>
          <w:color w:val="000000"/>
          <w:sz w:val="18"/>
        </w:rPr>
        <w:t xml:space="preserve">Interest expense, net. </w:t>
      </w:r>
      <w:r>
        <w:rPr>
          <w:rFonts w:ascii="Times New Roman;sans-serif" w:hAnsi="Times New Roman;sans-serif"/>
          <w:b w:val="false"/>
          <w:color w:val="000000"/>
          <w:sz w:val="18"/>
        </w:rPr>
        <w:t>Interest expense, net of interest income, was approximately $63 million, or approximately 1.9% of revenue, for the three month period ended September 30, 2023, as compared with approximately $27 million, or 1.1% of revenue, for the same period in 2022, an increase of approximately $36 million, or 133%. The increase in interest expense, net, resulted primarily from credit facility activity and term loans, which accounted for approximately $27 million of the increase due to higher average balances, including from indebtedness incurred in connection with acquisition activity, including $700 million of additional unsecured term loans entered into in connection with the acquisition of IEA in the fourth quarter of 2022, as well as higher average interest rates on our floating rate debt as compared with the same period in 2022. In addition, interest expense from senior notes increased by $5 million due to the assumption, exchange and issuance of $300 million aggregate principal amount of 6.625% senior notes in connection with the IEA acquisition. See Financial Condition, Liquidity and Capital Resources discussion below for details of our debt instruments and recent transactions. Additionally, interest expense from accounts receivable financing arrangements increased by approximately $1 million</w:t>
      </w:r>
      <w:r>
        <w:rPr>
          <w:color w:val="000000"/>
          <w:shd w:fill="FFFFFF" w:val="clear"/>
        </w:rPr>
        <w:t xml:space="preserve"> </w:t>
      </w:r>
      <w:r>
        <w:rPr>
          <w:rFonts w:ascii="Times New Roman;sans-serif" w:hAnsi="Times New Roman;sans-serif"/>
          <w:b w:val="false"/>
          <w:color w:val="000000"/>
          <w:sz w:val="18"/>
          <w:shd w:fill="FFFFFF" w:val="clear"/>
        </w:rPr>
        <w:t>due primarily to higher averag</w:t>
      </w:r>
      <w:r>
        <w:rPr>
          <w:rFonts w:ascii="Times New Roman;sans-serif" w:hAnsi="Times New Roman;sans-serif"/>
          <w:b w:val="false"/>
          <w:color w:val="000000"/>
          <w:sz w:val="18"/>
        </w:rPr>
        <w:t xml:space="preserve">e interest rates and higher average balances, including from arrangements entered into in the second and third quarters of 2023. See Note 5 - Accounts Receivable, Net of Allowance, and Contract Assets and Liabilities, which is incorporated by reference, for details of our financing arrangements. </w:t>
      </w:r>
    </w:p>
    <w:p>
      <w:pPr>
        <w:pStyle w:val="TextBody"/>
        <w:bidi w:val="0"/>
        <w:spacing w:lineRule="auto" w:line="288" w:before="120" w:after="283"/>
        <w:ind w:left="0" w:right="0" w:firstLine="360"/>
        <w:jc w:val="both"/>
        <w:rPr/>
      </w:pPr>
      <w:r>
        <w:rPr>
          <w:rFonts w:ascii="Times New Roman;sans-serif" w:hAnsi="Times New Roman;sans-serif"/>
          <w:b/>
          <w:i/>
          <w:color w:val="000000"/>
          <w:sz w:val="18"/>
        </w:rPr>
        <w:t xml:space="preserve">Equity in earnings of unconsolidated affiliates, net. </w:t>
      </w:r>
      <w:r>
        <w:rPr>
          <w:rFonts w:ascii="Times New Roman;sans-serif" w:hAnsi="Times New Roman;sans-serif"/>
          <w:b w:val="false"/>
          <w:color w:val="000000"/>
          <w:sz w:val="18"/>
        </w:rPr>
        <w:t>Equity in earnings or losses of unconsolidated affiliates includes our share of income or losses from equity investees. For the three month periods ended September 30, 2023 and 2022, equity in earnings from unconsolidated affiliates, net, totaled approximately $7 million and $6 million, respectively, and related primarily to our investments in the Waha JVs, and, to a lesser extent to our investments in certain other entities.</w:t>
      </w:r>
    </w:p>
    <w:p>
      <w:pPr>
        <w:pStyle w:val="TextBody"/>
        <w:bidi w:val="0"/>
        <w:spacing w:lineRule="auto" w:line="288" w:before="120" w:after="283"/>
        <w:ind w:left="0" w:right="0" w:firstLine="360"/>
        <w:jc w:val="both"/>
        <w:rPr/>
      </w:pPr>
      <w:r>
        <w:rPr>
          <w:rFonts w:ascii="Times New Roman;sans-serif" w:hAnsi="Times New Roman;sans-serif"/>
          <w:b/>
          <w:i/>
          <w:color w:val="000000"/>
          <w:sz w:val="18"/>
        </w:rPr>
        <w:t>Other (income) expense, net.</w:t>
      </w:r>
      <w:r>
        <w:rPr>
          <w:color w:val="000000"/>
        </w:rPr>
        <w:t xml:space="preserve"> </w:t>
      </w:r>
      <w:r>
        <w:rPr>
          <w:rFonts w:ascii="Times New Roman;sans-serif" w:hAnsi="Times New Roman;sans-serif"/>
          <w:b w:val="false"/>
          <w:color w:val="000000"/>
          <w:sz w:val="18"/>
        </w:rPr>
        <w:t xml:space="preserve">Other (income) expense, net, consists primarily of gains or losses from changes to estimated Earn-out accruals and certain contingent payments to the former owners of an acquired business; certain legal/other settlements; gains or losses, or changes in estimated recoveries from certain assets, including financial instruments, and certain liabilities; certain purchase accounting adjustments, and other miscellaneous income or expense. Other income, net, was $17 million for the three month period ended September 30, 2023, as compared with $0.2 million of other expense, net for the same period in 2022. For the three month period ended September 30, 2023, other income, net, included approximately $5 million of income, net, from changes to estimated Earn-out accruals and $7 million of other miscellaneous income, net, including from insurance and other settlements, $7 million of income from changes in the fair value of additional contingent payments to the former owners of an acquired business and approximately $3 million of impairment losses on an investment. </w:t>
      </w:r>
      <w:r>
        <w:rPr>
          <w:rFonts w:ascii="Times New Roman;sans-serif" w:hAnsi="Times New Roman;sans-serif"/>
          <w:b w:val="false"/>
          <w:color w:val="000000"/>
          <w:sz w:val="18"/>
          <w:shd w:fill="FFFFFF" w:val="clear"/>
        </w:rPr>
        <w:t>For the three month period ended September 30, 2022, other expense, net, included approximately $3 million of acquisition and integration-related financing costs, offset, in part, by approximately $1 million of income from changes in the fair value of additional contingent payments to the former owners of an acquired business and approximately $1 million of other miscellaneous income.</w:t>
      </w:r>
    </w:p>
    <w:p>
      <w:pPr>
        <w:pStyle w:val="TextBody"/>
        <w:bidi w:val="0"/>
        <w:spacing w:lineRule="auto" w:line="288" w:before="120" w:after="283"/>
        <w:ind w:left="0" w:right="0" w:firstLine="360"/>
        <w:jc w:val="both"/>
        <w:rPr/>
      </w:pPr>
      <w:r>
        <w:rPr>
          <w:rFonts w:ascii="Times New Roman;sans-serif" w:hAnsi="Times New Roman;sans-serif"/>
          <w:b/>
          <w:i/>
          <w:color w:val="000000"/>
          <w:sz w:val="18"/>
        </w:rPr>
        <w:t xml:space="preserve">Provision for income taxes. </w:t>
      </w:r>
      <w:r>
        <w:rPr>
          <w:rFonts w:ascii="Times New Roman;sans-serif" w:hAnsi="Times New Roman;sans-serif"/>
          <w:b w:val="false"/>
          <w:color w:val="000000"/>
          <w:sz w:val="18"/>
        </w:rPr>
        <w:t xml:space="preserve">Income tax expense was $8 million for the three month period ended September 30, 2023 as compared with $11 million for the same period in the prior year. Pre-tax income decreased to $23 million for the three month period ended September 30, 2023 from $60 million for the same period in 2022. For the three month period ended September 30, 2023, our effective tax rate increased to 33.1% from 18.4% for the same period in 2022. Our effective tax rate in the third quarter of 2023 included a benefit of approximately $4 million related to adjustments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5"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resulting from the finalization of our 2022 tax returns, whereas in the third quarter of 2022, our effective tax rate included a benefit of approximately $13 million related to adjustments from finalization of our 2021 tax returns.</w:t>
      </w:r>
    </w:p>
    <w:p>
      <w:pPr>
        <w:pStyle w:val="TextBody"/>
        <w:bidi w:val="0"/>
        <w:spacing w:lineRule="auto" w:line="288" w:before="120" w:after="283"/>
        <w:jc w:val="both"/>
        <w:rPr>
          <w:rFonts w:ascii="Times New Roman;sans-serif" w:hAnsi="Times New Roman;sans-serif"/>
          <w:b/>
          <w:color w:val="000000"/>
          <w:sz w:val="18"/>
        </w:rPr>
      </w:pPr>
      <w:r>
        <w:rPr>
          <w:rFonts w:ascii="Times New Roman;sans-serif" w:hAnsi="Times New Roman;sans-serif"/>
          <w:b/>
          <w:color w:val="000000"/>
          <w:sz w:val="18"/>
        </w:rPr>
        <w:t>Analysis of EBITDA by Segment</w:t>
      </w:r>
    </w:p>
    <w:p>
      <w:pPr>
        <w:pStyle w:val="TextBody"/>
        <w:bidi w:val="0"/>
        <w:spacing w:lineRule="auto" w:line="288" w:before="120" w:after="283"/>
        <w:ind w:left="0" w:right="0" w:firstLine="720"/>
        <w:jc w:val="both"/>
        <w:rPr/>
      </w:pPr>
      <w:r>
        <w:rPr>
          <w:rFonts w:ascii="Times New Roman;sans-serif" w:hAnsi="Times New Roman;sans-serif"/>
          <w:b/>
          <w:i/>
          <w:color w:val="000000"/>
          <w:sz w:val="18"/>
        </w:rPr>
        <w:t xml:space="preserve">Communications Segment. </w:t>
      </w:r>
      <w:r>
        <w:rPr>
          <w:rFonts w:ascii="Times New Roman;sans-serif" w:hAnsi="Times New Roman;sans-serif"/>
          <w:b w:val="false"/>
          <w:color w:val="000000"/>
          <w:sz w:val="18"/>
        </w:rPr>
        <w:t>EBITDA for our Communications segment was $73 million, or 8.9% of revenue, for the three month period ended September 30, 2023, as compared with $110 million, or 12.4% of revenue, for the same period in 2022, a decrease of approximately $37 million, or 33%. As a percentage of revenue, EBITDA decreased by 350 basis points, or approximately $29 million, due primarily to reduced operating leverage from lower levels of wireless revenue, as well as reduced project efficiencies and an increase of approximately $4 million in certain acquisition and integration costs. Lower levels of revenue contributed a decrease in EBITDA of $8 million.</w:t>
      </w:r>
    </w:p>
    <w:p>
      <w:pPr>
        <w:pStyle w:val="TextBody"/>
        <w:bidi w:val="0"/>
        <w:spacing w:lineRule="auto" w:line="288" w:before="120" w:after="283"/>
        <w:ind w:left="0" w:right="0" w:firstLine="720"/>
        <w:jc w:val="both"/>
        <w:rPr/>
      </w:pPr>
      <w:r>
        <w:rPr>
          <w:rFonts w:ascii="Times New Roman;sans-serif" w:hAnsi="Times New Roman;sans-serif"/>
          <w:b/>
          <w:i/>
          <w:color w:val="000000"/>
          <w:sz w:val="18"/>
        </w:rPr>
        <w:t xml:space="preserve">Clean Energy and Infrastructure Segment. </w:t>
      </w:r>
      <w:r>
        <w:rPr>
          <w:rFonts w:ascii="Times New Roman;sans-serif" w:hAnsi="Times New Roman;sans-serif"/>
          <w:b w:val="false"/>
          <w:color w:val="000000"/>
          <w:sz w:val="18"/>
        </w:rPr>
        <w:t xml:space="preserve">EBITDA for our Clean Energy and Infrastructure segment was $42 million, or 3.9% of revenue, for the three month period ended September 30, 2023, as compared with EBITDA of $25 million, or 4.4% of revenue, for the same period in 2022, an increase of approximately $18 million, or 73%. Higher levels of revenue contributed an increase in EBITDA of approximately $23 million, whereas reduced productivity contributed a decrease of approximately $6 million. </w:t>
      </w:r>
      <w:r>
        <w:rPr>
          <w:rFonts w:ascii="Times New Roman;sans-serif" w:hAnsi="Times New Roman;sans-serif"/>
          <w:b w:val="false"/>
          <w:color w:val="000000"/>
          <w:sz w:val="18"/>
          <w:shd w:fill="FFFFFF" w:val="clear"/>
        </w:rPr>
        <w:t>A</w:t>
      </w:r>
      <w:r>
        <w:rPr>
          <w:rFonts w:ascii="Times New Roman;sans-serif" w:hAnsi="Times New Roman;sans-serif"/>
          <w:b w:val="false"/>
          <w:color w:val="000000"/>
          <w:sz w:val="18"/>
        </w:rPr>
        <w:t>s a percentage of revenue, EBITDA decreased by approximately 50 basis points due primarily to project inefficiencies, including from certain industrial infrastructure project work, as well as the effects of certain overhead costs incurred to maintain operating capacity in support of expected future project work, and an increase of approximately $15 million in certain acquisition and integration costs, offset, in part, by improved productivity for certain renewable projects and the effects of project mix.</w:t>
      </w:r>
    </w:p>
    <w:p>
      <w:pPr>
        <w:pStyle w:val="TextBody"/>
        <w:bidi w:val="0"/>
        <w:spacing w:lineRule="auto" w:line="288" w:before="120" w:after="283"/>
        <w:ind w:left="0" w:right="0" w:firstLine="720"/>
        <w:jc w:val="both"/>
        <w:rPr/>
      </w:pPr>
      <w:r>
        <w:rPr>
          <w:rFonts w:ascii="Times New Roman;sans-serif" w:hAnsi="Times New Roman;sans-serif"/>
          <w:b/>
          <w:i/>
          <w:color w:val="000000"/>
          <w:sz w:val="18"/>
        </w:rPr>
        <w:t xml:space="preserve">Oil and Gas Segment. </w:t>
      </w:r>
      <w:r>
        <w:rPr>
          <w:rFonts w:ascii="Times New Roman;sans-serif" w:hAnsi="Times New Roman;sans-serif"/>
          <w:b w:val="false"/>
          <w:color w:val="000000"/>
          <w:sz w:val="18"/>
        </w:rPr>
        <w:t>EBITDA for our Oil and Gas segment was $97 million, or 14.5% of revenue, for the three month period ended September 30, 2023, as compared with EBITDA of $49 million, or 13.1% of revenue, for the same period in 2022, an increase of approximately $48 million, or 98%. Higher levels of revenue contributed an increase in EBITDA of approximately $39 million. As a percentage of revenue, EBITDA margins increased by approximately 140 basis points, or $9 million, due primarily to project efficiencies and improved productivity, including as a result of improved operating leverage from higher levels of revenue, as well as the effects of project mix and a decrease of approximately $1 million in certain acquisition and integration costs.</w:t>
      </w:r>
    </w:p>
    <w:p>
      <w:pPr>
        <w:pStyle w:val="TextBody"/>
        <w:bidi w:val="0"/>
        <w:spacing w:lineRule="auto" w:line="288" w:before="120" w:after="283"/>
        <w:ind w:left="0" w:right="0" w:firstLine="720"/>
        <w:jc w:val="both"/>
        <w:rPr/>
      </w:pPr>
      <w:r>
        <w:rPr>
          <w:rFonts w:ascii="Times New Roman;sans-serif" w:hAnsi="Times New Roman;sans-serif"/>
          <w:b/>
          <w:i/>
          <w:color w:val="000000"/>
          <w:sz w:val="18"/>
        </w:rPr>
        <w:t xml:space="preserve">Power Delivery Segment. </w:t>
      </w:r>
      <w:r>
        <w:rPr>
          <w:rFonts w:ascii="Times New Roman;sans-serif" w:hAnsi="Times New Roman;sans-serif"/>
          <w:b w:val="false"/>
          <w:color w:val="000000"/>
          <w:sz w:val="18"/>
        </w:rPr>
        <w:t>EBITDA for our Power Delivery segment was $57 million, or 8.5% of revenue, for the three month period ended September 30, 2023, as compared with EBITDA of $63 million, or 9.2% of revenue, for the same period in 2022, a decrease in EBITDA of approximately $7 million, or 11%. As a percentage of revenue, EBITDA decreased by approximately 70 basis points, or $4 million, due primarily to reduced project efficiencies, offset, in part, by a reduction of approximately $20 million in certain acquisition and integration costs. Lower levels of revenue contributed a decrease in EBITDA of approximately $2 million.</w:t>
      </w:r>
    </w:p>
    <w:p>
      <w:pPr>
        <w:pStyle w:val="TextBody"/>
        <w:bidi w:val="0"/>
        <w:spacing w:lineRule="auto" w:line="288" w:before="120" w:after="283"/>
        <w:ind w:left="0" w:right="0" w:firstLine="720"/>
        <w:jc w:val="both"/>
        <w:rPr/>
      </w:pPr>
      <w:r>
        <w:rPr>
          <w:rFonts w:ascii="Times New Roman;sans-serif" w:hAnsi="Times New Roman;sans-serif"/>
          <w:b/>
          <w:i/>
          <w:color w:val="000000"/>
          <w:sz w:val="18"/>
        </w:rPr>
        <w:t xml:space="preserve">Other Segment. </w:t>
      </w:r>
      <w:r>
        <w:rPr>
          <w:rFonts w:ascii="Times New Roman;sans-serif" w:hAnsi="Times New Roman;sans-serif"/>
          <w:b w:val="false"/>
          <w:color w:val="000000"/>
          <w:sz w:val="18"/>
        </w:rPr>
        <w:t xml:space="preserve">EBITDA from Other businesses was approximately $4 million for the three month period ended September 30, 2023, as compared with EBITDA of $6 million for the same period in 2022. EBITDA from Other businesses relates primarily to equity in earnings from our investments in the Waha JVs, offset, in part, by losses from other businesses and investments. </w:t>
      </w:r>
    </w:p>
    <w:p>
      <w:pPr>
        <w:pStyle w:val="TextBody"/>
        <w:bidi w:val="0"/>
        <w:spacing w:lineRule="auto" w:line="288" w:before="120" w:after="283"/>
        <w:ind w:left="0" w:right="0" w:firstLine="720"/>
        <w:jc w:val="both"/>
        <w:rPr/>
      </w:pPr>
      <w:r>
        <w:rPr>
          <w:rFonts w:ascii="Times New Roman;sans-serif" w:hAnsi="Times New Roman;sans-serif"/>
          <w:b/>
          <w:i/>
          <w:color w:val="000000"/>
          <w:sz w:val="18"/>
        </w:rPr>
        <w:t xml:space="preserve">Corporate. </w:t>
      </w:r>
      <w:r>
        <w:rPr>
          <w:rFonts w:ascii="Times New Roman;sans-serif" w:hAnsi="Times New Roman;sans-serif"/>
          <w:b w:val="false"/>
          <w:color w:val="000000"/>
          <w:sz w:val="18"/>
        </w:rPr>
        <w:t>Corporate EBITDA was negative $31 million for the three month period ended September 30, 2023, as compared with EBITDA of negative $46 million for the same period in 2022, for an increase in EBITDA of approximately $15 million. Acquisition and integration costs included within corporate expenses decreased to approximately $1 million for the three month period ended September 30, 2023 from $11 million for the same period in 2022. For the three month period ended September 30, 2023, Corporate EBITDA included approximately $5 million of income, net, from changes to estimated Earn-out accruals and $7 million of income from changes in the fair value of additional contingent payments to the former owners of an acquired business. Corporate EBITDA for the three month period ended September 30, 2022 included approximately $1 million of income from changes in the fair value of additional contingent payments to the former owners of an acquired business. Corporate expenses not related to the above-described items increased by approximately $6 million for the three month period ended September 30, 2023 as compared with the same period in the prior year, due primarily to an increase in compensation costs and other administrative expenses, including professional fees, and the effects of timing of ordinary course legal and other settlement matters, offset, in part, by other miscellaneous income, net, including from insurance and other settlements.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18"/>
        </w:rPr>
      </w:pPr>
      <w:r>
        <w:rPr>
          <w:rFonts w:ascii="Times New Roman;sans-serif" w:hAnsi="Times New Roman;sans-serif"/>
          <w:b/>
          <w:color w:val="000000"/>
          <w:sz w:val="18"/>
        </w:rPr>
        <w:t>Nine Months Ended September 30, 2023 Compared to Nine Months Ended September 30, 2022</w:t>
      </w:r>
    </w:p>
    <w:p>
      <w:pPr>
        <w:pStyle w:val="TextBody"/>
        <w:bidi w:val="0"/>
        <w:spacing w:lineRule="auto" w:line="288" w:before="120" w:after="283"/>
        <w:ind w:left="0" w:right="0" w:firstLine="360"/>
        <w:jc w:val="both"/>
        <w:rPr/>
      </w:pPr>
      <w:r>
        <w:rPr>
          <w:rFonts w:ascii="Times New Roman;sans-serif" w:hAnsi="Times New Roman;sans-serif"/>
          <w:b/>
          <w:i/>
          <w:color w:val="000000"/>
          <w:sz w:val="18"/>
        </w:rPr>
        <w:t>Revenue</w:t>
      </w:r>
      <w:r>
        <w:rPr>
          <w:rFonts w:ascii="Times New Roman;sans-serif" w:hAnsi="Times New Roman;sans-serif"/>
          <w:b/>
          <w:color w:val="000000"/>
          <w:sz w:val="18"/>
        </w:rPr>
        <w:t>.</w:t>
      </w:r>
      <w:r>
        <w:rPr>
          <w:color w:val="000000"/>
        </w:rPr>
        <w:t xml:space="preserve"> </w:t>
      </w:r>
      <w:r>
        <w:rPr>
          <w:rFonts w:ascii="Times New Roman;sans-serif" w:hAnsi="Times New Roman;sans-serif"/>
          <w:b w:val="false"/>
          <w:color w:val="000000"/>
          <w:sz w:val="18"/>
        </w:rPr>
        <w:t>For the nine month period ended September 30, 2023, consolidated revenue totaled $8,716 million as compared with $6,770 million for the same period in 2022, an increase of $1,946 million, or 29%. Acquisitions contributed $1,504 million of increased revenue for the nine month period ended September 30, 2023 and organic revenue increased by approximately $443 million, or 7%, as compared with the same period in 2022. See below for details of revenue by segment.</w:t>
      </w:r>
    </w:p>
    <w:p>
      <w:pPr>
        <w:pStyle w:val="TextBody"/>
        <w:bidi w:val="0"/>
        <w:spacing w:lineRule="auto" w:line="288" w:before="120" w:after="283"/>
        <w:ind w:left="0" w:right="0" w:firstLine="720"/>
        <w:jc w:val="both"/>
        <w:rPr/>
      </w:pPr>
      <w:r>
        <w:rPr>
          <w:rFonts w:ascii="Times New Roman;sans-serif" w:hAnsi="Times New Roman;sans-serif"/>
          <w:b/>
          <w:i/>
          <w:color w:val="000000"/>
          <w:sz w:val="18"/>
        </w:rPr>
        <w:t>Communications Segment</w:t>
      </w:r>
      <w:r>
        <w:rPr>
          <w:rFonts w:ascii="Times New Roman;sans-serif" w:hAnsi="Times New Roman;sans-serif"/>
          <w:b/>
          <w:color w:val="000000"/>
          <w:sz w:val="18"/>
        </w:rPr>
        <w:t xml:space="preserve">. </w:t>
      </w:r>
      <w:r>
        <w:rPr>
          <w:rFonts w:ascii="Times New Roman;sans-serif" w:hAnsi="Times New Roman;sans-serif"/>
          <w:b w:val="false"/>
          <w:color w:val="000000"/>
          <w:sz w:val="18"/>
        </w:rPr>
        <w:t>Communications revenue was $2,500 million for the nine month period ended September 30, 2023, as compared with $2,375 million for the same period in 2022, an increase of $125 million, or 5%. Acquisitions contributed $106 million of revenue for the nine month period ended September 30, 2023, and organic revenue increased by approximately $19 million, or 1%, as compared with the same period in 2022. The increase in organic revenue was driven primarily by higher levels of wireline and utility project activity, offset, in part, by a decrease in wireless and install-to-the-home project work due, in part, to the effect of macroeconomic conditions on project activity levels, reflecting delays driven, in part, by customers’ higher financing costs.</w:t>
      </w:r>
    </w:p>
    <w:p>
      <w:pPr>
        <w:pStyle w:val="TextBody"/>
        <w:bidi w:val="0"/>
        <w:spacing w:lineRule="auto" w:line="288" w:before="120" w:after="283"/>
        <w:ind w:left="0" w:right="0" w:firstLine="720"/>
        <w:jc w:val="both"/>
        <w:rPr/>
      </w:pPr>
      <w:r>
        <w:rPr>
          <w:rFonts w:ascii="Times New Roman;sans-serif" w:hAnsi="Times New Roman;sans-serif"/>
          <w:b/>
          <w:i/>
          <w:color w:val="000000"/>
          <w:sz w:val="18"/>
        </w:rPr>
        <w:t>Clean Energy and Infrastructure Segment</w:t>
      </w:r>
      <w:r>
        <w:rPr>
          <w:rFonts w:ascii="Times New Roman;sans-serif" w:hAnsi="Times New Roman;sans-serif"/>
          <w:b/>
          <w:color w:val="000000"/>
          <w:sz w:val="18"/>
        </w:rPr>
        <w:t xml:space="preserve">. </w:t>
      </w:r>
      <w:r>
        <w:rPr>
          <w:rFonts w:ascii="Times New Roman;sans-serif" w:hAnsi="Times New Roman;sans-serif"/>
          <w:b w:val="false"/>
          <w:color w:val="000000"/>
          <w:sz w:val="18"/>
        </w:rPr>
        <w:t>Clean Energy and Infrastructure revenue was $2,895 million for the nine month period ended September 30, 2023 as compared with $1,494 million for the same period in 2022, an increase of $1,401 million, or 94%. Acquisitions contributed $1,383 million of revenue for the nine month period ended September 30, 2023, and organic revenue increased by approximately $18 million, or 1%, as compared with the same period in 2022, due primarily to higher levels of renewable and heavy civil project activity due to timing of project work, offset, in part, by lower levels of certain industrial infrastructure project work.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6"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ind w:left="0" w:right="0" w:firstLine="720"/>
        <w:jc w:val="both"/>
        <w:rPr/>
      </w:pPr>
      <w:r>
        <w:rPr>
          <w:rFonts w:ascii="Times New Roman;sans-serif" w:hAnsi="Times New Roman;sans-serif"/>
          <w:b/>
          <w:i/>
          <w:color w:val="000000"/>
          <w:sz w:val="18"/>
        </w:rPr>
        <w:t>Oil and Gas Segment</w:t>
      </w:r>
      <w:r>
        <w:rPr>
          <w:rFonts w:ascii="Times New Roman;sans-serif" w:hAnsi="Times New Roman;sans-serif"/>
          <w:b/>
          <w:color w:val="000000"/>
          <w:sz w:val="18"/>
        </w:rPr>
        <w:t>.</w:t>
      </w:r>
      <w:r>
        <w:rPr>
          <w:color w:val="000000"/>
        </w:rPr>
        <w:t xml:space="preserve"> </w:t>
      </w:r>
      <w:r>
        <w:rPr>
          <w:rFonts w:ascii="Times New Roman;sans-serif" w:hAnsi="Times New Roman;sans-serif"/>
          <w:b w:val="false"/>
          <w:color w:val="000000"/>
          <w:sz w:val="18"/>
        </w:rPr>
        <w:t>Oil and Gas revenue was $1,271 million for the nine month period ended September 30, 2023, as compared with $928 million for the same period in 2022, an increase of $343 million, or 37%, primarily due to higher levels of project activity, including large-diameter pipeline, pipeline integrity and midstream pipeline project work, offset, in part, by a reduction in certain facilities and other infrastructure-related project work.</w:t>
      </w:r>
    </w:p>
    <w:p>
      <w:pPr>
        <w:pStyle w:val="TextBody"/>
        <w:bidi w:val="0"/>
        <w:spacing w:lineRule="auto" w:line="288" w:before="120" w:after="283"/>
        <w:ind w:left="0" w:right="0" w:firstLine="720"/>
        <w:jc w:val="both"/>
        <w:rPr/>
      </w:pPr>
      <w:r>
        <w:rPr>
          <w:rFonts w:ascii="Times New Roman;sans-serif" w:hAnsi="Times New Roman;sans-serif"/>
          <w:b/>
          <w:i/>
          <w:color w:val="000000"/>
          <w:sz w:val="18"/>
        </w:rPr>
        <w:t>Power Delivery Segment</w:t>
      </w:r>
      <w:r>
        <w:rPr>
          <w:rFonts w:ascii="Times New Roman;sans-serif" w:hAnsi="Times New Roman;sans-serif"/>
          <w:b/>
          <w:color w:val="000000"/>
          <w:sz w:val="18"/>
        </w:rPr>
        <w:t xml:space="preserve">. </w:t>
      </w:r>
      <w:r>
        <w:rPr>
          <w:rFonts w:ascii="Times New Roman;sans-serif" w:hAnsi="Times New Roman;sans-serif"/>
          <w:b w:val="false"/>
          <w:color w:val="000000"/>
          <w:sz w:val="18"/>
        </w:rPr>
        <w:t xml:space="preserve">Power Delivery revenue was $2,077 million for the nine month period ended September 30, 2023 as compared with $1,985 million for the same period in 2022, an increase of $92 million, or 5%. For the nine month period ended September 30, 2023, acquisitions contributed $15 million of revenue, and organic revenue increased by approximately $77 million, or 4%, as compared with the same period in 2022, primarily due to higher levels of project activity, including for transmission and substation-related project work, offset, in part, by a reduction in storm restoration services, certain facilities and other infrastructure-related project work. </w:t>
      </w:r>
    </w:p>
    <w:p>
      <w:pPr>
        <w:pStyle w:val="TextBody"/>
        <w:bidi w:val="0"/>
        <w:spacing w:lineRule="auto" w:line="288" w:before="120" w:after="283"/>
        <w:ind w:left="0" w:right="0" w:firstLine="360"/>
        <w:jc w:val="both"/>
        <w:rPr/>
      </w:pPr>
      <w:r>
        <w:rPr>
          <w:rFonts w:ascii="Times New Roman;sans-serif" w:hAnsi="Times New Roman;sans-serif"/>
          <w:b/>
          <w:i/>
          <w:color w:val="000000"/>
          <w:sz w:val="18"/>
        </w:rPr>
        <w:t>Costs of revenue, excluding depreciation and amortization.</w:t>
      </w:r>
      <w:r>
        <w:rPr>
          <w:color w:val="000000"/>
        </w:rPr>
        <w:t xml:space="preserve"> </w:t>
      </w:r>
      <w:r>
        <w:rPr>
          <w:rFonts w:ascii="Times New Roman;sans-serif" w:hAnsi="Times New Roman;sans-serif"/>
          <w:b w:val="false"/>
          <w:color w:val="000000"/>
          <w:sz w:val="18"/>
        </w:rPr>
        <w:t>Costs of revenue, excluding depreciation and amortization, increased by approximately $1,752 million, or 29%, to $7,701 million for the nine month period ended September 30, 2023 from $5,949 million for the same period in 2022. Higher levels of revenue contributed an increase of $1,710 million in costs of revenue, excluding depreciation and amortization, and reduced productivity contributed an increase of approximately $42 million. Costs of revenue, excluding depreciation and amortization, as a percentage of revenue increased by approximately 50 basis points to 88.4% of revenue for the nine month period ended September 30, 2023 from 87.9% of revenue for the same period in 2022. The basis point increase was primarily due to a combination of reduced project efficiencies within our Communications and Power Delivery segments, the effects of certain overhead costs incurred to maintain operating capacity in support of expected future project work and the effects of inflation on labor, fuel and materials costs across our businesses, offset, in part, by improved productivity within our Clean Energy and Infrastructure and Oil and Gas segments, a $14 million decrease in certain acquisition and integration costs and the positive effects of certain project close-outs.</w:t>
      </w:r>
    </w:p>
    <w:p>
      <w:pPr>
        <w:pStyle w:val="TextBody"/>
        <w:bidi w:val="0"/>
        <w:spacing w:lineRule="auto" w:line="288" w:before="120" w:after="283"/>
        <w:ind w:left="0" w:right="0" w:firstLine="360"/>
        <w:jc w:val="both"/>
        <w:rPr/>
      </w:pPr>
      <w:r>
        <w:rPr>
          <w:rFonts w:ascii="Times New Roman;sans-serif" w:hAnsi="Times New Roman;sans-serif"/>
          <w:b/>
          <w:i/>
          <w:color w:val="000000"/>
          <w:sz w:val="18"/>
        </w:rPr>
        <w:t>Depreciation.</w:t>
      </w:r>
      <w:r>
        <w:rPr>
          <w:color w:val="000000"/>
        </w:rPr>
        <w:t xml:space="preserve"> </w:t>
      </w:r>
      <w:r>
        <w:rPr>
          <w:rFonts w:ascii="Times New Roman;sans-serif" w:hAnsi="Times New Roman;sans-serif"/>
          <w:b w:val="false"/>
          <w:color w:val="000000"/>
          <w:sz w:val="18"/>
        </w:rPr>
        <w:t>Depreciation was $325 million, or 3.7% of revenue, for the nine month period ended September 30, 2023, as compared with $263 million, or 3.9% of revenue, for the same period in 2022, an increase of approximately $62 million, or 23%. Acquisitions contributed $33 million of depreciation for the nine month period ended September 30, 2023, and organic depreciation increased by $29 million, or approximately 11%, due primarily to the effect of capital expenditures in 2022 in support of certain prior year growth initiatives and to address prior year supply chain disruption concerns, offset, in part, by a $4 million reduction in depreciation expense related to a change in the depreciable lives of certain assets to better align the respective assets’ lives with their expected useful lives. As a percentage of revenue, depreciation decreased by approximately 20 basis points, due primarily to higher levels of revenue.</w:t>
      </w:r>
    </w:p>
    <w:p>
      <w:pPr>
        <w:pStyle w:val="TextBody"/>
        <w:bidi w:val="0"/>
        <w:spacing w:lineRule="auto" w:line="288" w:before="120" w:after="283"/>
        <w:ind w:left="0" w:right="0" w:firstLine="360"/>
        <w:jc w:val="both"/>
        <w:rPr/>
      </w:pPr>
      <w:r>
        <w:rPr>
          <w:rFonts w:ascii="Times New Roman;sans-serif" w:hAnsi="Times New Roman;sans-serif"/>
          <w:b/>
          <w:i/>
          <w:color w:val="000000"/>
          <w:sz w:val="18"/>
        </w:rPr>
        <w:t>Amortization of intangible assets.</w:t>
      </w:r>
      <w:r>
        <w:rPr>
          <w:color w:val="000000"/>
        </w:rPr>
        <w:t xml:space="preserve"> </w:t>
      </w:r>
      <w:r>
        <w:rPr>
          <w:rFonts w:ascii="Times New Roman;sans-serif" w:hAnsi="Times New Roman;sans-serif"/>
          <w:b w:val="false"/>
          <w:color w:val="000000"/>
          <w:sz w:val="18"/>
        </w:rPr>
        <w:t>Amortization of intangible assets was $126 million, or 1.4% of revenue, for the nine month period ended September 30, 2023, as compared with $81 million, or 1.2% of revenue, for the same period in 2022, an increase of approximately $45 million, or 55%. Acquisitions contributed approximately $44 million of amortization for the nine month period ended September 30, 2023, and organic amortization increased by approximately $1 million, or 1%. As a percentage of revenue, amortization of intangible assets increased by approximately 20 basis points.</w:t>
      </w:r>
    </w:p>
    <w:p>
      <w:pPr>
        <w:pStyle w:val="TextBody"/>
        <w:bidi w:val="0"/>
        <w:spacing w:lineRule="auto" w:line="288" w:before="120" w:after="283"/>
        <w:ind w:left="0" w:right="0" w:firstLine="360"/>
        <w:jc w:val="both"/>
        <w:rPr/>
      </w:pPr>
      <w:r>
        <w:rPr>
          <w:rFonts w:ascii="Times New Roman;sans-serif" w:hAnsi="Times New Roman;sans-serif"/>
          <w:b/>
          <w:i/>
          <w:color w:val="000000"/>
          <w:sz w:val="18"/>
        </w:rPr>
        <w:t>General and administrative expenses</w:t>
      </w:r>
      <w:r>
        <w:rPr>
          <w:rFonts w:ascii="Times New Roman;sans-serif" w:hAnsi="Times New Roman;sans-serif"/>
          <w:b w:val="false"/>
          <w:i/>
          <w:color w:val="000000"/>
          <w:sz w:val="18"/>
        </w:rPr>
        <w:t>.</w:t>
      </w:r>
      <w:r>
        <w:rPr>
          <w:color w:val="000000"/>
        </w:rPr>
        <w:t xml:space="preserve"> </w:t>
      </w:r>
      <w:r>
        <w:rPr>
          <w:rFonts w:ascii="Times New Roman;sans-serif" w:hAnsi="Times New Roman;sans-serif"/>
          <w:b w:val="false"/>
          <w:color w:val="000000"/>
          <w:sz w:val="18"/>
        </w:rPr>
        <w:t>General and administrative expenses totaled $521 million, or 6.0% of revenue, for the nine month period ended September 30, 2023, as compared with $404 million, or 6.0% of revenue, for the same period in 2022, an increase of $116 million, or 29%. Acquisitions, including certain acquisition and integration costs, contributed $115 million of general and administrative expenses for the nine month period ended September 30, 2023, and organic general and administrative expenses increased by approximately $1 million as compared with the same period in the prior year, primarily due to a reduction in gains on sales of assets, net, and increases in various administrative costs, including information technology expenses, professional fees and legal expenses, offset, in part, by a reduction in compensation expense and other miscellaneous administrative costs</w:t>
      </w:r>
      <w:r>
        <w:rPr>
          <w:rFonts w:ascii="Times New Roman;sans-serif" w:hAnsi="Times New Roman;sans-serif"/>
          <w:b w:val="false"/>
          <w:color w:val="000000"/>
          <w:sz w:val="18"/>
          <w:shd w:fill="FFFFFF" w:val="clear"/>
        </w:rPr>
        <w:t xml:space="preserve">. </w:t>
      </w:r>
      <w:r>
        <w:rPr>
          <w:rFonts w:ascii="Times New Roman;sans-serif" w:hAnsi="Times New Roman;sans-serif"/>
          <w:b w:val="false"/>
          <w:color w:val="000000"/>
          <w:sz w:val="18"/>
        </w:rPr>
        <w:t xml:space="preserve">Total acquisition and integration costs included within general and administrative expenses increased to $53 million for the nine month period ended September 30, 2023 from approximately $35 million for the same period in 2022. </w:t>
      </w:r>
      <w:r>
        <w:rPr>
          <w:rFonts w:ascii="Times New Roman;sans-serif" w:hAnsi="Times New Roman;sans-serif"/>
          <w:b w:val="false"/>
          <w:color w:val="000000"/>
          <w:sz w:val="18"/>
          <w:shd w:fill="FFFFFF" w:val="clear"/>
        </w:rPr>
        <w:t>Overall, gen</w:t>
      </w:r>
      <w:r>
        <w:rPr>
          <w:rFonts w:ascii="Times New Roman;sans-serif" w:hAnsi="Times New Roman;sans-serif"/>
          <w:b w:val="false"/>
          <w:color w:val="000000"/>
          <w:sz w:val="18"/>
        </w:rPr>
        <w:t>eral and administrative expenses as a percentage of revenue were generally flat at 6.0% of revenue for both periods.</w:t>
      </w:r>
    </w:p>
    <w:p>
      <w:pPr>
        <w:pStyle w:val="TextBody"/>
        <w:bidi w:val="0"/>
        <w:spacing w:lineRule="auto" w:line="288" w:before="120" w:after="283"/>
        <w:ind w:left="0" w:right="0" w:firstLine="360"/>
        <w:jc w:val="both"/>
        <w:rPr/>
      </w:pPr>
      <w:r>
        <w:rPr>
          <w:rFonts w:ascii="Times New Roman;sans-serif" w:hAnsi="Times New Roman;sans-serif"/>
          <w:b/>
          <w:i/>
          <w:color w:val="000000"/>
          <w:sz w:val="18"/>
        </w:rPr>
        <w:t xml:space="preserve">Interest expense, net. </w:t>
      </w:r>
      <w:r>
        <w:rPr>
          <w:rFonts w:ascii="Times New Roman;sans-serif" w:hAnsi="Times New Roman;sans-serif"/>
          <w:b w:val="false"/>
          <w:color w:val="000000"/>
          <w:sz w:val="18"/>
        </w:rPr>
        <w:t xml:space="preserve">Interest expense, net of interest income, was approximately $175 million, or 2.0% of revenue, for the nine month period ended September 30, 2023, as compared with approximately $62 million, or 0.9% of revenue, for the same period in 2022, an increase of approximately $112 million, or 180%. The increase in interest expense, net, resulted primarily from credit facility activity and term loans, which accounted for approximately $85 million of the increase due to higher average balances, including from indebtedness incurred in connection with acquisition activity, including $700 million of additional unsecured term loans entered into in connection with the acquisition of IEA in the fourth quarter of 2022, as well as higher average interest rates on our floating rate debt as compared with the same period in 2022. In addition, interest expense from senior notes </w:t>
      </w:r>
      <w:r>
        <w:rPr>
          <w:rFonts w:ascii="Times New Roman;sans-serif" w:hAnsi="Times New Roman;sans-serif"/>
          <w:b w:val="false"/>
          <w:color w:val="000000"/>
          <w:sz w:val="18"/>
          <w:shd w:fill="FFFFFF" w:val="clear"/>
        </w:rPr>
        <w:t xml:space="preserve">increased </w:t>
      </w:r>
      <w:r>
        <w:rPr>
          <w:rFonts w:ascii="Times New Roman;sans-serif" w:hAnsi="Times New Roman;sans-serif"/>
          <w:b w:val="false"/>
          <w:color w:val="000000"/>
          <w:sz w:val="18"/>
        </w:rPr>
        <w:t xml:space="preserve">by </w:t>
      </w:r>
      <w:r>
        <w:rPr>
          <w:rFonts w:ascii="Times New Roman;sans-serif" w:hAnsi="Times New Roman;sans-serif"/>
          <w:b w:val="false"/>
          <w:color w:val="000000"/>
          <w:sz w:val="18"/>
          <w:shd w:fill="FFFFFF" w:val="clear"/>
        </w:rPr>
        <w:t>$15 million</w:t>
      </w:r>
      <w:r>
        <w:rPr>
          <w:color w:val="000000"/>
        </w:rPr>
        <w:t xml:space="preserve"> </w:t>
      </w:r>
      <w:r>
        <w:rPr>
          <w:rFonts w:ascii="Times New Roman;sans-serif" w:hAnsi="Times New Roman;sans-serif"/>
          <w:b w:val="false"/>
          <w:color w:val="000000"/>
          <w:sz w:val="18"/>
        </w:rPr>
        <w:t xml:space="preserve">due to the assumption, exchange and issuance of $300 million aggregate principal amount of 6.625% senior notes in connection with the IEA acquisition. See Financial Condition, Liquidity and Capital Resources discussion below for details of our debt instruments and recent transactions. Additionally, interest expense from accounts receivable financing arrangements increased by approximately $7 million due primarily to </w:t>
      </w:r>
      <w:r>
        <w:rPr>
          <w:rFonts w:ascii="Times New Roman;sans-serif" w:hAnsi="Times New Roman;sans-serif"/>
          <w:b w:val="false"/>
          <w:color w:val="000000"/>
          <w:sz w:val="18"/>
          <w:shd w:fill="FFFFFF" w:val="clear"/>
        </w:rPr>
        <w:t>higher averag</w:t>
      </w:r>
      <w:r>
        <w:rPr>
          <w:rFonts w:ascii="Times New Roman;sans-serif" w:hAnsi="Times New Roman;sans-serif"/>
          <w:b w:val="false"/>
          <w:color w:val="000000"/>
          <w:sz w:val="18"/>
        </w:rPr>
        <w:t>e interest rates and higher average balances, including from arrangements entered into in the second and third quarters of 2023. See Note 5 - Accounts Receivable, Net of Allowance, and Contract Assets and Liabilities, which is incorporated by reference, for details of our financing arrangements.</w:t>
      </w:r>
    </w:p>
    <w:p>
      <w:pPr>
        <w:pStyle w:val="TextBody"/>
        <w:bidi w:val="0"/>
        <w:spacing w:lineRule="auto" w:line="288" w:before="120" w:after="283"/>
        <w:ind w:left="0" w:right="0" w:firstLine="360"/>
        <w:jc w:val="both"/>
        <w:rPr/>
      </w:pPr>
      <w:r>
        <w:rPr>
          <w:rFonts w:ascii="Times New Roman;sans-serif" w:hAnsi="Times New Roman;sans-serif"/>
          <w:b/>
          <w:i/>
          <w:color w:val="000000"/>
          <w:sz w:val="18"/>
        </w:rPr>
        <w:t xml:space="preserve">Equity in earnings of unconsolidated affiliates, net. </w:t>
      </w:r>
      <w:r>
        <w:rPr>
          <w:rFonts w:ascii="Times New Roman;sans-serif" w:hAnsi="Times New Roman;sans-serif"/>
          <w:b w:val="false"/>
          <w:color w:val="000000"/>
          <w:sz w:val="18"/>
        </w:rPr>
        <w:t>For the nine month periods ended September 30, 2023 and 2022, equity in earnings from unconsolidated affiliates, net, totaled approximately $23 million and $19 million, respectively, and related primarily to our investments in the Waha JVs, and, to a lesser extent to our investments in certain other entities.</w:t>
      </w:r>
    </w:p>
    <w:p>
      <w:pPr>
        <w:pStyle w:val="TextBody"/>
        <w:bidi w:val="0"/>
        <w:spacing w:lineRule="auto" w:line="288" w:before="120" w:after="283"/>
        <w:ind w:left="0" w:right="0" w:firstLine="360"/>
        <w:jc w:val="both"/>
        <w:rPr/>
      </w:pPr>
      <w:r>
        <w:rPr>
          <w:rFonts w:ascii="Times New Roman;sans-serif" w:hAnsi="Times New Roman;sans-serif"/>
          <w:b/>
          <w:i/>
          <w:color w:val="000000"/>
          <w:sz w:val="18"/>
        </w:rPr>
        <w:t>Other income, net.</w:t>
      </w:r>
      <w:r>
        <w:rPr>
          <w:color w:val="000000"/>
        </w:rPr>
        <w:t xml:space="preserve"> </w:t>
      </w:r>
      <w:r>
        <w:rPr>
          <w:rFonts w:ascii="Times New Roman;sans-serif" w:hAnsi="Times New Roman;sans-serif"/>
          <w:b w:val="false"/>
          <w:color w:val="000000"/>
          <w:sz w:val="18"/>
        </w:rPr>
        <w:t>Other income, net, was $26 million for the nine month period ended September 30, 2023, as compared with $2 million for the same period in 2022. For the nine month period ended September 30, 2023, other income, net, included approximately $7 million of income, net, from changes to estimated Earn-out accruals, approximately $3 million of income from the final settlement and expiration of certain warrants related to the acquisition of IEA, approximately $19 million of other miscellaneous income, including from insurance and other settlements, and approximately $2 million of income from changes in the fair value of additional contingent payments to the former owners of an acquired bu</w:t>
      </w:r>
      <w:r>
        <w:rPr>
          <w:rFonts w:ascii="Times New Roman;sans-serif" w:hAnsi="Times New Roman;sans-serif"/>
          <w:b w:val="false"/>
          <w:color w:val="000000"/>
          <w:sz w:val="18"/>
          <w:shd w:fill="FFFFFF" w:val="clear"/>
        </w:rPr>
        <w:t xml:space="preserve">siness, offset, in part, by approximately </w:t>
      </w:r>
      <w:r>
        <w:rPr>
          <w:rFonts w:ascii="Times New Roman;sans-serif" w:hAnsi="Times New Roman;sans-serif"/>
          <w:b w:val="false"/>
          <w:color w:val="000000"/>
          <w:sz w:val="18"/>
        </w:rPr>
        <w:t>$3 million</w:t>
      </w:r>
      <w:r>
        <w:rPr>
          <w:color w:val="000000"/>
          <w:shd w:fill="FFFFFF" w:val="clear"/>
        </w:rPr>
        <w:t xml:space="preserve"> </w:t>
      </w:r>
      <w:r>
        <w:rPr>
          <w:rFonts w:ascii="Times New Roman;sans-serif" w:hAnsi="Times New Roman;sans-serif"/>
          <w:b w:val="false"/>
          <w:color w:val="000000"/>
          <w:sz w:val="18"/>
          <w:shd w:fill="FFFFFF" w:val="clear"/>
        </w:rPr>
        <w:t xml:space="preserve">of impairment losses on an investment. For the nine month period ended September 30, 2022,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7"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 xml:space="preserve">income, net, included approximately $1 million of income, net, from changes to estimated Earn-out accruals, approximately $6 million of income from changes in the fair value of additional contingent payments to the former owners of an acquired business and approximately $5 million of other miscellaneous income, offset, in part, by approximately $7 million of expense from changes in the fair value of our investment in AVCT, net of income from strategic arrangements and approximately $3 million of acquisition and integration-related financing costs. </w:t>
      </w:r>
    </w:p>
    <w:p>
      <w:pPr>
        <w:pStyle w:val="TextBody"/>
        <w:bidi w:val="0"/>
        <w:spacing w:lineRule="auto" w:line="288" w:before="120" w:after="283"/>
        <w:ind w:left="0" w:right="0" w:firstLine="360"/>
        <w:jc w:val="both"/>
        <w:rPr/>
      </w:pPr>
      <w:r>
        <w:rPr>
          <w:rFonts w:ascii="Times New Roman;sans-serif" w:hAnsi="Times New Roman;sans-serif"/>
          <w:b/>
          <w:i/>
          <w:color w:val="000000"/>
          <w:sz w:val="18"/>
        </w:rPr>
        <w:t>Benefit from income taxes.</w:t>
      </w:r>
      <w:r>
        <w:rPr>
          <w:color w:val="000000"/>
        </w:rPr>
        <w:t xml:space="preserve"> </w:t>
      </w:r>
      <w:r>
        <w:rPr>
          <w:rFonts w:ascii="Times New Roman;sans-serif" w:hAnsi="Times New Roman;sans-serif"/>
          <w:b w:val="false"/>
          <w:color w:val="000000"/>
          <w:sz w:val="18"/>
        </w:rPr>
        <w:t>Income tax benefit was $34 million for the nine month period ended September 30, 2023 as compared with $0.1 million for the same period in 2022. Pre-tax losses totaled $83 million for the nine month period ended September 30, 2023 as compared with $30 million of pre-tax income for the same period in 2022. For the nine month period ended September 30, 2023, our effective tax rate was a benefit of 41.4% as compared with 0.2% for the same period in 2022. Our effective tax rate for the nine month period ended September 30, 2023 included a benefit of approximately $6 million related to adjustments resulting from the finalization of our 2022 tax returns and the effects of a net tax benefit of approximately $9 million from share-based payment awards, offset, in part, by an increase in non-deductible expenses. For the nine month period ended September 30, 2022, our effective tax rate included a benefit of approximately $15 million from adjustments related to the finalization of our 2021 tax returns, and a net tax benefit of approximately $1 million from share-based payment awards.</w:t>
      </w:r>
    </w:p>
    <w:p>
      <w:pPr>
        <w:pStyle w:val="TextBody"/>
        <w:bidi w:val="0"/>
        <w:spacing w:lineRule="auto" w:line="288" w:before="120" w:after="283"/>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Analysis of EBITDA by Segment</w:t>
      </w:r>
    </w:p>
    <w:p>
      <w:pPr>
        <w:pStyle w:val="TextBody"/>
        <w:bidi w:val="0"/>
        <w:spacing w:lineRule="auto" w:line="288" w:before="120" w:after="283"/>
        <w:ind w:left="0" w:right="0" w:firstLine="720"/>
        <w:jc w:val="both"/>
        <w:rPr/>
      </w:pPr>
      <w:r>
        <w:rPr>
          <w:rFonts w:ascii="Times New Roman;sans-serif" w:hAnsi="Times New Roman;sans-serif"/>
          <w:b/>
          <w:i/>
          <w:color w:val="000000"/>
          <w:sz w:val="18"/>
        </w:rPr>
        <w:t xml:space="preserve">Communications Segment. </w:t>
      </w:r>
      <w:r>
        <w:rPr>
          <w:rFonts w:ascii="Times New Roman;sans-serif" w:hAnsi="Times New Roman;sans-serif"/>
          <w:b w:val="false"/>
          <w:color w:val="000000"/>
          <w:sz w:val="18"/>
        </w:rPr>
        <w:t xml:space="preserve">EBITDA for our Communications segment was $216 million, or 8.6% of revenue, for the nine month period ended September 30, 2023, as compared with EBITDA of $235 million, or 9.9% of revenue, for the same period in 2022, a decrease of approximately $19 million, or approximately 8%. As a percentage of revenue, EBITDA decreased by approximately 120 basis points, or approximately $31 million, due primarily to reduced operating leverage from lower levels of wireless revenue, as well as reduced project efficiencies, including the effects of inflation on labor, fuel and materials costs, and an increase of approximately $16 million in certain acquisition and integration costs, offset, in part, by the positive effects of certain project close-outs. Higher levels of revenue contributed an increase in EBITDA of $12 million. </w:t>
      </w:r>
    </w:p>
    <w:p>
      <w:pPr>
        <w:pStyle w:val="TextBody"/>
        <w:bidi w:val="0"/>
        <w:spacing w:lineRule="auto" w:line="288" w:before="120" w:after="283"/>
        <w:ind w:left="0" w:right="0" w:firstLine="720"/>
        <w:jc w:val="both"/>
        <w:rPr/>
      </w:pPr>
      <w:r>
        <w:rPr>
          <w:rFonts w:ascii="Times New Roman;sans-serif" w:hAnsi="Times New Roman;sans-serif"/>
          <w:b/>
          <w:i/>
          <w:color w:val="000000"/>
          <w:sz w:val="18"/>
        </w:rPr>
        <w:t xml:space="preserve">Clean Energy and Infrastructure Segment. </w:t>
      </w:r>
      <w:r>
        <w:rPr>
          <w:rFonts w:ascii="Times New Roman;sans-serif" w:hAnsi="Times New Roman;sans-serif"/>
          <w:b w:val="false"/>
          <w:color w:val="000000"/>
          <w:sz w:val="18"/>
        </w:rPr>
        <w:t>EBITDA for our Clean Energy and Infrastructure segment was $81 million, or 2.8% of revenue, for the nine month period ended September 30, 2023, as compared with EBITDA of $30 million, or 2.0% of revenue, for the same period in 2022, an increase in EBITDA of approximately $51 million, or 168%. Higher levels of revenue contributed an increase in EBITDA of approximately $28 million. As a percentage of revenue, EBITDA increased by approximately 80 basis points, or $22 million, due to a combination of improved productivity, including for certain renewable projects</w:t>
      </w:r>
      <w:r>
        <w:rPr>
          <w:rFonts w:ascii="Times New Roman;sans-serif" w:hAnsi="Times New Roman;sans-serif"/>
          <w:b w:val="false"/>
          <w:color w:val="000000"/>
          <w:sz w:val="18"/>
          <w:shd w:fill="FFFFFF" w:val="clear"/>
        </w:rPr>
        <w:t xml:space="preserve">, offset, in part, by </w:t>
      </w:r>
      <w:r>
        <w:rPr>
          <w:rFonts w:ascii="Times New Roman;sans-serif" w:hAnsi="Times New Roman;sans-serif"/>
          <w:b w:val="false"/>
          <w:color w:val="000000"/>
          <w:sz w:val="18"/>
        </w:rPr>
        <w:t>an increase of approximately $37 million in certain acquisition and integration costs, the effects of certain overhead costs incurred to maintain operating capacity in support of expected future project work, project mix and the effects of inflation on labor, fuel and materials costs.</w:t>
      </w:r>
    </w:p>
    <w:p>
      <w:pPr>
        <w:pStyle w:val="TextBody"/>
        <w:bidi w:val="0"/>
        <w:spacing w:lineRule="auto" w:line="288" w:before="120" w:after="283"/>
        <w:ind w:left="0" w:right="0" w:firstLine="720"/>
        <w:jc w:val="both"/>
        <w:rPr/>
      </w:pPr>
      <w:r>
        <w:rPr>
          <w:rFonts w:ascii="Times New Roman;sans-serif" w:hAnsi="Times New Roman;sans-serif"/>
          <w:b/>
          <w:i/>
          <w:color w:val="000000"/>
          <w:sz w:val="18"/>
        </w:rPr>
        <w:t xml:space="preserve">Oil and Gas Segment. </w:t>
      </w:r>
      <w:r>
        <w:rPr>
          <w:rFonts w:ascii="Times New Roman;sans-serif" w:hAnsi="Times New Roman;sans-serif"/>
          <w:b w:val="false"/>
          <w:color w:val="000000"/>
          <w:sz w:val="18"/>
        </w:rPr>
        <w:t xml:space="preserve">EBITDA for our Oil and Gas segment was $189 million, or 14.9% of revenue, for the nine month period ended September 30, 2023, as compared with EBITDA of $133 million, or 14.4% of revenue, for the same period in 2022, an increase of $55 million, or 42%. Higher levels of revenue contributed an increase in EBITDA of $49 million. As a percentage of revenue, EBITDA margins increased by approximately 50 basis points, or approximately $6 million, due primarily to project efficiencies and improved productivity, including as a result of improved operating leverage from higher levels of revenue, as well as the effects of project mix, certain project close-outs and </w:t>
      </w:r>
      <w:r>
        <w:rPr>
          <w:rFonts w:ascii="Times New Roman;sans-serif" w:hAnsi="Times New Roman;sans-serif"/>
          <w:b w:val="false"/>
          <w:color w:val="000000"/>
          <w:sz w:val="18"/>
          <w:shd w:fill="FFFFFF" w:val="clear"/>
        </w:rPr>
        <w:t>a reduction</w:t>
      </w:r>
      <w:r>
        <w:rPr>
          <w:color w:val="000000"/>
        </w:rPr>
        <w:t xml:space="preserve"> </w:t>
      </w:r>
      <w:r>
        <w:rPr>
          <w:rFonts w:ascii="Times New Roman;sans-serif" w:hAnsi="Times New Roman;sans-serif"/>
          <w:b w:val="false"/>
          <w:color w:val="000000"/>
          <w:sz w:val="18"/>
        </w:rPr>
        <w:t xml:space="preserve">of approximately $5 million in certain acquisition and integration costs, offset, in part, by the effects of inflation on labor, fuel and materials costs. </w:t>
      </w:r>
    </w:p>
    <w:p>
      <w:pPr>
        <w:pStyle w:val="TextBody"/>
        <w:bidi w:val="0"/>
        <w:spacing w:lineRule="auto" w:line="288" w:before="120" w:after="283"/>
        <w:ind w:left="0" w:right="0" w:firstLine="720"/>
        <w:jc w:val="both"/>
        <w:rPr/>
      </w:pPr>
      <w:r>
        <w:rPr>
          <w:rFonts w:ascii="Times New Roman;sans-serif" w:hAnsi="Times New Roman;sans-serif"/>
          <w:b/>
          <w:i/>
          <w:color w:val="000000"/>
          <w:sz w:val="18"/>
        </w:rPr>
        <w:t xml:space="preserve">Power Delivery Segment. </w:t>
      </w:r>
      <w:r>
        <w:rPr>
          <w:rFonts w:ascii="Times New Roman;sans-serif" w:hAnsi="Times New Roman;sans-serif"/>
          <w:b w:val="false"/>
          <w:color w:val="000000"/>
          <w:sz w:val="18"/>
        </w:rPr>
        <w:t>EBITDA for our Power Delivery segment was $161 million, or 7.8% of revenue, for the nine month period ended September 30, 2023, as compared with EBITDA of $151 million, or 7.6% of revenue, for the same period in 2022, an increase in EBITDA of approximately $10 million, or 7%. Higher levels of revenue contributed an increase in EBITDA of $7 million. As a percentage of revenue, EBITDA increased by approximately 20 basis points, or $3 million, due primarily to improved project efficiencies and a reduction of approximately $32 million in certain acquisition and integration costs, offset, in part, by the effects of inflation on labor, fuel and materials costs.</w:t>
      </w:r>
    </w:p>
    <w:p>
      <w:pPr>
        <w:pStyle w:val="TextBody"/>
        <w:bidi w:val="0"/>
        <w:spacing w:lineRule="auto" w:line="288" w:before="120" w:after="283"/>
        <w:ind w:left="0" w:right="0" w:firstLine="720"/>
        <w:jc w:val="both"/>
        <w:rPr/>
      </w:pPr>
      <w:r>
        <w:rPr>
          <w:rFonts w:ascii="Times New Roman;sans-serif" w:hAnsi="Times New Roman;sans-serif"/>
          <w:b/>
          <w:i/>
          <w:color w:val="000000"/>
          <w:sz w:val="18"/>
        </w:rPr>
        <w:t xml:space="preserve">Other Segment. </w:t>
      </w:r>
      <w:r>
        <w:rPr>
          <w:rFonts w:ascii="Times New Roman;sans-serif" w:hAnsi="Times New Roman;sans-serif"/>
          <w:b w:val="false"/>
          <w:color w:val="000000"/>
          <w:sz w:val="18"/>
        </w:rPr>
        <w:t>EBITDA from Other businesses totaled approximately $18 million for the nine month period ended September 30, 2023, as compared with EBITDA of $20 million for the same period in 2022. EBITDA from Other businesses relates primarily to equity in earnings from our investments in the Waha JVs, offset, in part, by losses from other businesses and investments.</w:t>
      </w:r>
    </w:p>
    <w:p>
      <w:pPr>
        <w:pStyle w:val="TextBody"/>
        <w:bidi w:val="0"/>
        <w:spacing w:lineRule="auto" w:line="288" w:before="120" w:after="283"/>
        <w:ind w:left="0" w:right="0" w:firstLine="720"/>
        <w:jc w:val="both"/>
        <w:rPr/>
      </w:pPr>
      <w:r>
        <w:rPr>
          <w:rFonts w:ascii="Times New Roman;sans-serif" w:hAnsi="Times New Roman;sans-serif"/>
          <w:b/>
          <w:i/>
          <w:color w:val="000000"/>
          <w:sz w:val="18"/>
        </w:rPr>
        <w:t xml:space="preserve">Corporate. </w:t>
      </w:r>
      <w:r>
        <w:rPr>
          <w:rFonts w:ascii="Times New Roman;sans-serif" w:hAnsi="Times New Roman;sans-serif"/>
          <w:b w:val="false"/>
          <w:color w:val="000000"/>
          <w:sz w:val="18"/>
        </w:rPr>
        <w:t>Corporate EBITDA was negative $121 million for the nine month period ended September 30, 2023, as compared with EBITDA of negative $131 million for the same period in 2022, for an increase in EBITDA of approximately $10 million. Acquisition and integration costs included within corporate expenses decreased to approximately $3 million for the nine month period ended September 30, 2023 from $18 million for the same period in 2022. For the nine month period ended September 30, 2023, Corporate EBITDA included approximately $7 million of income, net, from changes to estimated Earn-out accruals, $3 million of income from the final settlement and expiration of certain warrants related to the acquisition of IEA</w:t>
      </w:r>
      <w:r>
        <w:rPr>
          <w:color w:val="000000"/>
          <w:shd w:fill="FFFFFF" w:val="clear"/>
        </w:rPr>
        <w:t xml:space="preserve"> </w:t>
      </w:r>
      <w:r>
        <w:rPr>
          <w:rFonts w:ascii="Times New Roman;sans-serif" w:hAnsi="Times New Roman;sans-serif"/>
          <w:b w:val="false"/>
          <w:color w:val="000000"/>
          <w:sz w:val="18"/>
          <w:shd w:fill="FFFFFF" w:val="clear"/>
        </w:rPr>
        <w:t>and $2 million of income from changes in the fair value of additional contingent payments to the former owners of an acquired business. For the nine month period ended September 30, 2022, Corporate EBITDA</w:t>
      </w:r>
      <w:r>
        <w:rPr>
          <w:color w:val="000000"/>
        </w:rPr>
        <w:t xml:space="preserve"> </w:t>
      </w:r>
      <w:r>
        <w:rPr>
          <w:rFonts w:ascii="Times New Roman;sans-serif" w:hAnsi="Times New Roman;sans-serif"/>
          <w:b w:val="false"/>
          <w:color w:val="000000"/>
          <w:sz w:val="18"/>
        </w:rPr>
        <w:t xml:space="preserve">included </w:t>
      </w:r>
      <w:r>
        <w:rPr>
          <w:rFonts w:ascii="Times New Roman;sans-serif" w:hAnsi="Times New Roman;sans-serif"/>
          <w:b w:val="false"/>
          <w:color w:val="000000"/>
          <w:sz w:val="18"/>
          <w:shd w:fill="FFFFFF" w:val="clear"/>
        </w:rPr>
        <w:t>approximately $1 million of income, net, from changes to estimated Earn-out accruals and $6 million of income from changes in the fair value of additional contingent payments to the former owners of an acquired business, offset by approximately $7 million, of expense from changes in the fair value of certain investments, net of income from strategic arrangements</w:t>
      </w:r>
      <w:r>
        <w:rPr>
          <w:rFonts w:ascii="Times New Roman;sans-serif" w:hAnsi="Times New Roman;sans-serif"/>
          <w:b w:val="false"/>
          <w:color w:val="000000"/>
          <w:sz w:val="18"/>
        </w:rPr>
        <w:t>.</w:t>
      </w:r>
      <w:r>
        <w:rPr>
          <w:color w:val="000000"/>
          <w:shd w:fill="FFFFFF" w:val="clear"/>
        </w:rPr>
        <w:t xml:space="preserve"> </w:t>
      </w:r>
      <w:r>
        <w:rPr>
          <w:rFonts w:ascii="Times New Roman;sans-serif" w:hAnsi="Times New Roman;sans-serif"/>
          <w:b w:val="false"/>
          <w:color w:val="000000"/>
          <w:sz w:val="18"/>
        </w:rPr>
        <w:t>For the nine month period ended September 30, 2023, Corporate expenses not related to the above-described items increased by approximately $17 million as compared with the same period in the prior year, due primarily to increases in compensation expense, professional fees and other administrative expenses as well as the effects of timing of ordinary course legal and other settlement matters, offset, in part, by other miscellaneous income, net, including from insurance and other settlements.</w:t>
      </w:r>
    </w:p>
    <w:p>
      <w:pPr>
        <w:pStyle w:val="TextBody"/>
        <w:bidi w:val="0"/>
        <w:spacing w:lineRule="auto" w:line="288" w:before="120" w:after="283"/>
        <w:ind w:left="0" w:right="0" w:firstLine="720"/>
        <w:jc w:val="left"/>
        <w:rPr>
          <w:rFonts w:ascii="Times New Roman;sans-serif" w:hAnsi="Times New Roman;sans-serif"/>
          <w:b/>
          <w:color w:val="000000"/>
          <w:sz w:val="18"/>
        </w:rPr>
      </w:pPr>
      <w:r>
        <w:rPr>
          <w:rFonts w:ascii="Times New Roman;sans-serif" w:hAnsi="Times New Roman;sans-serif"/>
          <w:b/>
          <w:color w:val="000000"/>
          <w:sz w:val="18"/>
        </w:rPr>
        <w:t>Foreign Operations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Our foreign operations are primarily in Canada and, to a far lesser extent, in Mexico, the Caribbean and India. See Note 13 - Segments and Related Information in the notes to the consolidated financial statements, which is 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18"/>
        </w:rPr>
      </w:pPr>
      <w:r>
        <w:rPr>
          <w:rFonts w:ascii="Times New Roman;sans-serif" w:hAnsi="Times New Roman;sans-serif"/>
          <w:b/>
          <w:color w:val="000000"/>
          <w:sz w:val="18"/>
        </w:rPr>
        <w:t>Non-U.S. GAAP Financial Measures</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appropriate, we supplement our reported U.S. GAAP financial information with certain non-U.S. GAAP financial measures,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8"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earnings before interest, income taxes, depreciation and amortization (“EBITDA”), adjusted EBITDA (“Adjusted EBITDA”), adjusted net income (“Adjusted Net Income”) and adjusted diluted earnings per share (“Adjusted Diluted Earnings Per Share”). These “adjusted” non-U.S. GAAP measures exclude, as applicable to the particular periods, non-cash stock-based compensation expense; acquisition and integration costs related to our recent acquisitions; fair value gains or losses, net, on an investment; and the bargain purchase gain from a 2021 acquisition; and, for Adjusted Net Income and Adjusted Diluted Earnings Per Share, amortization of intangible assets, and the tax effects of the adjusted items. These definitions of EBITDA and Adjusted EBITDA are not the same as in our Credit Facility or in the indenture governing our senior notes; therefore, EBITDA and Adjusted EBITDA as presented in this discussion should not be used for purposes of determining our compliance with the covenants contained in our debt instruments.</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We use EBITDA and Adjusted EBITDA, as well as Adjusted Net Income and Adjusted Diluted Earnings Per Share to evaluate our performance, both internally and as compared with our peers, because these measures exclude certain items that may not be indicative of our core operating results, as well as items that can vary widely across different industries or among companies within the same industry. We believe that these adjusted measures provide a baseline for analyzing trends in our underlying business. Non-cash stock-based compensation expense can be subject to volatility from changes in the market price per share of our common stock or variations in the value and number of shares granted, and amortization of intangible assets is subject to acquisition activity, which varies from period to period. In 2021, we initiated a significant transformation of our end-market business operations to position the Company for expected future opportunities. This transformation included significant acquisition activity to expand our scale and capacity in renewable energy, power delivery, heavy civil and telecommunications services, and has resulted in significant acquisition and integration costs. Beginning in the fourth quarter of 2021, due to the extent of the acquisition costs related to this acquisition activity and the extent of the integration efforts that have been, and continue to be, required in connection with such acquisitions, we are excluding acquisition and integration costs in calculating Adjusted EBITDA and Adjusted Net Income for these acquisitions. These integration efforts are ongoing and we expect to incur any remaining acquisition and integration expenses in the fourth quarter of 2023. </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addition, since the second quarter of 2022, we exclude fair value gains or losses, net, for our investment in American Virtual Cloud Technologies, Inc. (“AVCT”) in calculating our adjusted results, with prior periods updated to conform to this presentation. We believe that fair value gains or losses for our investment in AVCT, a company in which we had no active involvement and which varied from period to period based on fluctuations in the market price of the investment, are not indicative of our core operations, and that this presentation improves comparability of our results with those of our peers. AVCT filed for bankruptcy in the first quarter of 2023, and our investment was fully written off. We exclude intangible asset amortization and selected purchase accounting adjustments, including the bargain purchase gain from a 2021 acquisition, from our adjusted measures due to their non-operational nature and inherent volatility, as acquisition activity varies from period to period. Note that while intangible asset amortization related to the assets of acquired entities is excluded from our non-U.S. GAAP financial measures, our non-U.S. GAAP financial measures include the revenue and all other expenses of the acquired entities, unless otherwise stated. We also believe that this presentation is common practice in our industry and improves comparability of our results with those of our peers. Each company’s definitions of these adjusted measures may vary as they are not standardized and should be used in light of the provided reconciliations.</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believe that these non-U.S. GAAP financial measures provide meaningful information and help investors understand our financial results and assess our prospects for future performance. Because non-U.S. GAAP financial measures are not standardized, it may not be possible to compare these financial measures with other companies’ non-U.S. GAAP financial measures having the same or similar names. These financial measures should not be considered in isolation from, as substitutes for, or alternative measures of, reported net income or diluted earnings per share, and should be viewed in conjunction with the most comparable U.S. GAAP financial measures and the provided reconciliations thereto. We believe these non-U.S. GAAP financial measures, when viewed together with our U.S. GAAP results and related reconciliations, provide a more complete understanding of our business. We strongly encourage investors to review our consolidated financial statements and publicly filed reports in their entirety and not rely on any single financial measure.</w:t>
      </w:r>
    </w:p>
    <w:p>
      <w:pPr>
        <w:pStyle w:val="TextBody"/>
        <w:bidi w:val="0"/>
        <w:spacing w:lineRule="auto" w:line="288" w:before="120" w:after="6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a reconciliation of net income to EBITDA and Adjusted EBITDA in dollar and percentage of revenue terms, for the periods indicated. The tables below (dollar amounts in millions) may contain slight summation differences due to rounding.</w:t>
      </w:r>
    </w:p>
    <w:tbl>
      <w:tblPr>
        <w:tblW w:w="10205" w:type="dxa"/>
        <w:jc w:val="left"/>
        <w:tblInd w:w="0" w:type="dxa"/>
        <w:tblLayout w:type="fixed"/>
        <w:tblCellMar>
          <w:top w:w="28" w:type="dxa"/>
          <w:left w:w="28" w:type="dxa"/>
          <w:bottom w:w="28" w:type="dxa"/>
          <w:right w:w="28" w:type="dxa"/>
        </w:tblCellMar>
      </w:tblPr>
      <w:tblGrid>
        <w:gridCol w:w="845"/>
        <w:gridCol w:w="457"/>
        <w:gridCol w:w="460"/>
        <w:gridCol w:w="196"/>
        <w:gridCol w:w="556"/>
        <w:gridCol w:w="109"/>
        <w:gridCol w:w="109"/>
        <w:gridCol w:w="109"/>
        <w:gridCol w:w="109"/>
        <w:gridCol w:w="203"/>
        <w:gridCol w:w="203"/>
        <w:gridCol w:w="256"/>
        <w:gridCol w:w="109"/>
        <w:gridCol w:w="109"/>
        <w:gridCol w:w="109"/>
        <w:gridCol w:w="196"/>
        <w:gridCol w:w="556"/>
        <w:gridCol w:w="109"/>
        <w:gridCol w:w="109"/>
        <w:gridCol w:w="109"/>
        <w:gridCol w:w="109"/>
        <w:gridCol w:w="203"/>
        <w:gridCol w:w="203"/>
        <w:gridCol w:w="256"/>
        <w:gridCol w:w="109"/>
        <w:gridCol w:w="109"/>
        <w:gridCol w:w="109"/>
        <w:gridCol w:w="196"/>
        <w:gridCol w:w="556"/>
        <w:gridCol w:w="109"/>
        <w:gridCol w:w="109"/>
        <w:gridCol w:w="109"/>
        <w:gridCol w:w="109"/>
        <w:gridCol w:w="214"/>
        <w:gridCol w:w="204"/>
        <w:gridCol w:w="256"/>
        <w:gridCol w:w="109"/>
        <w:gridCol w:w="109"/>
        <w:gridCol w:w="109"/>
        <w:gridCol w:w="196"/>
        <w:gridCol w:w="556"/>
        <w:gridCol w:w="109"/>
        <w:gridCol w:w="109"/>
        <w:gridCol w:w="109"/>
        <w:gridCol w:w="109"/>
        <w:gridCol w:w="203"/>
        <w:gridCol w:w="204"/>
        <w:gridCol w:w="305"/>
      </w:tblGrid>
      <w:tr>
        <w:trPr/>
        <w:tc>
          <w:tcPr>
            <w:tcW w:w="84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1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Nine Months Ended September 30, </w:t>
            </w:r>
          </w:p>
        </w:tc>
      </w:tr>
      <w:tr>
        <w:trPr/>
        <w:tc>
          <w:tcPr>
            <w:tcW w:w="1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(benefit from)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EBITDA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stock-based compensation expense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76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r>
      <w:tr>
        <w:trPr/>
        <w:tc>
          <w:tcPr>
            <w:tcW w:w="176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r>
      <w:tr>
        <w:trPr/>
        <w:tc>
          <w:tcPr>
            <w:tcW w:w="176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r>
      <w:tr>
        <w:trPr/>
        <w:tc>
          <w:tcPr>
            <w:tcW w:w="1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and integration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76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r>
      <w:tr>
        <w:trPr/>
        <w:tc>
          <w:tcPr>
            <w:tcW w:w="1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Losses on fair value of investment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Bargain purchase gain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3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9"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A reconciliation of EBITDA and EBITDA margin to Adjusted EBITDA and Adjusted EBITDA margin by segment for the periods indicated is as follows:</w:t>
      </w:r>
    </w:p>
    <w:tbl>
      <w:tblPr>
        <w:tblW w:w="10205" w:type="dxa"/>
        <w:jc w:val="left"/>
        <w:tblInd w:w="0" w:type="dxa"/>
        <w:tblLayout w:type="fixed"/>
        <w:tblCellMar>
          <w:top w:w="28" w:type="dxa"/>
          <w:left w:w="28" w:type="dxa"/>
          <w:bottom w:w="28" w:type="dxa"/>
          <w:right w:w="28" w:type="dxa"/>
        </w:tblCellMar>
      </w:tblPr>
      <w:tblGrid>
        <w:gridCol w:w="686"/>
        <w:gridCol w:w="424"/>
        <w:gridCol w:w="427"/>
        <w:gridCol w:w="196"/>
        <w:gridCol w:w="556"/>
        <w:gridCol w:w="109"/>
        <w:gridCol w:w="109"/>
        <w:gridCol w:w="109"/>
        <w:gridCol w:w="109"/>
        <w:gridCol w:w="233"/>
        <w:gridCol w:w="233"/>
        <w:gridCol w:w="256"/>
        <w:gridCol w:w="109"/>
        <w:gridCol w:w="109"/>
        <w:gridCol w:w="109"/>
        <w:gridCol w:w="196"/>
        <w:gridCol w:w="556"/>
        <w:gridCol w:w="109"/>
        <w:gridCol w:w="109"/>
        <w:gridCol w:w="109"/>
        <w:gridCol w:w="109"/>
        <w:gridCol w:w="233"/>
        <w:gridCol w:w="233"/>
        <w:gridCol w:w="256"/>
        <w:gridCol w:w="109"/>
        <w:gridCol w:w="109"/>
        <w:gridCol w:w="109"/>
        <w:gridCol w:w="196"/>
        <w:gridCol w:w="556"/>
        <w:gridCol w:w="109"/>
        <w:gridCol w:w="109"/>
        <w:gridCol w:w="109"/>
        <w:gridCol w:w="109"/>
        <w:gridCol w:w="233"/>
        <w:gridCol w:w="233"/>
        <w:gridCol w:w="256"/>
        <w:gridCol w:w="109"/>
        <w:gridCol w:w="109"/>
        <w:gridCol w:w="109"/>
        <w:gridCol w:w="196"/>
        <w:gridCol w:w="556"/>
        <w:gridCol w:w="109"/>
        <w:gridCol w:w="109"/>
        <w:gridCol w:w="109"/>
        <w:gridCol w:w="109"/>
        <w:gridCol w:w="232"/>
        <w:gridCol w:w="234"/>
        <w:gridCol w:w="303"/>
      </w:tblGrid>
      <w:tr>
        <w:trPr/>
        <w:tc>
          <w:tcPr>
            <w:tcW w:w="68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Nine Months Ended September 30, </w:t>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Non-cash stock-based compensation expense</w:t>
            </w:r>
            <w:r>
              <w:rPr>
                <w:color w:val="000000"/>
              </w:rPr>
              <w:t xml:space="preserve"> </w:t>
            </w:r>
            <w:r>
              <w:rPr>
                <w:rFonts w:ascii="Times New Roman;sans-serif" w:hAnsi="Times New Roman;sans-serif"/>
                <w:b w:val="false"/>
                <w:color w:val="000000"/>
                <w:sz w:val="12"/>
              </w:rPr>
              <w:t>(a)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3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153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153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1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Acquisition and integration costs</w:t>
            </w:r>
            <w:r>
              <w:rPr>
                <w:color w:val="000000"/>
              </w:rPr>
              <w:t xml:space="preserve"> </w:t>
            </w:r>
            <w:r>
              <w:rPr>
                <w:rFonts w:ascii="Times New Roman;sans-serif" w:hAnsi="Times New Roman;sans-serif"/>
                <w:b w:val="false"/>
                <w:color w:val="000000"/>
                <w:sz w:val="12"/>
              </w:rPr>
              <w:t>(b)</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3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Losses on fair value of investment </w:t>
            </w:r>
            <w:r>
              <w:rPr>
                <w:rFonts w:ascii="Times New Roman;sans-serif" w:hAnsi="Times New Roman;sans-serif"/>
                <w:b w:val="false"/>
                <w:color w:val="000000"/>
                <w:sz w:val="12"/>
              </w:rPr>
              <w:t>(a)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Bargain purchase gain</w:t>
            </w:r>
            <w:r>
              <w:rPr>
                <w:color w:val="000000"/>
              </w:rPr>
              <w:t xml:space="preserve"> </w:t>
            </w:r>
            <w:r>
              <w:rPr>
                <w:rFonts w:ascii="Times New Roman;sans-serif" w:hAnsi="Times New Roman;sans-serif"/>
                <w:b w:val="false"/>
                <w:color w:val="000000"/>
                <w:sz w:val="12"/>
              </w:rPr>
              <w:t>(a)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Clean Energy and Infrastructure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Oil and Gas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 Delivery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1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Total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3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60" w:after="283"/>
        <w:ind w:left="0" w:right="0" w:firstLine="720"/>
        <w:jc w:val="left"/>
        <w:rPr>
          <w:rFonts w:ascii="Times New Roman;sans-serif" w:hAnsi="Times New Roman;sans-serif"/>
          <w:b w:val="false"/>
          <w:color w:val="000000"/>
          <w:sz w:val="16"/>
        </w:rPr>
      </w:pPr>
      <w:r>
        <w:rPr>
          <w:rFonts w:ascii="Times New Roman;sans-serif" w:hAnsi="Times New Roman;sans-serif"/>
          <w:b w:val="false"/>
          <w:color w:val="000000"/>
          <w:sz w:val="16"/>
        </w:rPr>
        <w:t>NM - Percentage is not meaningful</w:t>
      </w:r>
    </w:p>
    <w:p>
      <w:pPr>
        <w:pStyle w:val="TextBody"/>
        <w:bidi w:val="0"/>
        <w:spacing w:lineRule="auto" w:line="288" w:before="6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    Non-cash stock-based compensation expense, losses on the fair value of our investment in AVCT and the bargain purchase gain from a fourth quarter 2021 acquisition are included within Corporate results.</w:t>
      </w:r>
    </w:p>
    <w:p>
      <w:pPr>
        <w:pStyle w:val="TextBody"/>
        <w:bidi w:val="0"/>
        <w:spacing w:lineRule="auto" w:line="288" w:before="0" w:after="0"/>
        <w:ind w:left="0" w:right="0" w:hanging="360"/>
        <w:jc w:val="both"/>
        <w:rPr/>
      </w:pPr>
      <w:r>
        <w:rPr>
          <w:rFonts w:ascii="Times New Roman;sans-serif" w:hAnsi="Times New Roman;sans-serif"/>
          <w:b w:val="false"/>
          <w:color w:val="000000"/>
          <w:sz w:val="16"/>
        </w:rPr>
        <w:t xml:space="preserve">(b)    For the three month period ended September 30, 2023, Communications, </w:t>
      </w:r>
      <w:r>
        <w:rPr>
          <w:rFonts w:ascii="Times New Roman;sans-serif" w:hAnsi="Times New Roman;sans-serif"/>
          <w:b w:val="false"/>
          <w:color w:val="000000"/>
          <w:sz w:val="16"/>
          <w:shd w:fill="FFFFFF" w:val="clear"/>
        </w:rPr>
        <w:t>Clean Energy and Infrastructure</w:t>
      </w:r>
      <w:r>
        <w:rPr>
          <w:color w:val="000000"/>
        </w:rPr>
        <w:t xml:space="preserve"> </w:t>
      </w:r>
      <w:r>
        <w:rPr>
          <w:rFonts w:ascii="Times New Roman;sans-serif" w:hAnsi="Times New Roman;sans-serif"/>
          <w:b w:val="false"/>
          <w:color w:val="000000"/>
          <w:sz w:val="16"/>
        </w:rPr>
        <w:t xml:space="preserve">and Power Delivery EBITDA included $4.8 million, $15.3 million and </w:t>
      </w:r>
      <w:r>
        <w:rPr>
          <w:rFonts w:ascii="Times New Roman;sans-serif" w:hAnsi="Times New Roman;sans-serif"/>
          <w:b w:val="false"/>
          <w:color w:val="000000"/>
          <w:sz w:val="16"/>
          <w:shd w:fill="FFFFFF" w:val="clear"/>
        </w:rPr>
        <w:t>$0.5 million</w:t>
      </w:r>
      <w:r>
        <w:rPr>
          <w:rFonts w:ascii="Times New Roman;sans-serif" w:hAnsi="Times New Roman;sans-serif"/>
          <w:b w:val="false"/>
          <w:color w:val="000000"/>
          <w:sz w:val="16"/>
        </w:rPr>
        <w:t xml:space="preserve">, respectively, of acquisition and integration costs related to our recent acquisitions, and Corporate EBITDA included $0.5 million of such costs, and for the nine month period ended September 30, 2023, $18.3 million, $36.9 million, $2.5 million and $3.2 million of such costs were included in EBITDA of the segments and Corporate, respectively. </w:t>
      </w:r>
      <w:r>
        <w:rPr>
          <w:rFonts w:ascii="Times New Roman;sans-serif" w:hAnsi="Times New Roman;sans-serif"/>
          <w:b w:val="false"/>
          <w:color w:val="000000"/>
          <w:sz w:val="16"/>
          <w:shd w:fill="FFFFFF" w:val="clear"/>
        </w:rPr>
        <w:t>For the three month period ended September 30, 2022, Communications, Oil and Gas, Power Delivery and Corporate EBITDA included $0.5 million, $1.1 million, $20.4 million and $11.2 million of such acquisition and integration costs, respectively, and for the nine month period ended September 30, 2022, $2.4 million, $4.5 million, $34.5 million, and $18.0 million of such costs were included in EBITDA of the segments and Corporate, respectively.</w:t>
      </w:r>
    </w:p>
    <w:p>
      <w:pPr>
        <w:pStyle w:val="TextBody"/>
        <w:bidi w:val="0"/>
        <w:spacing w:lineRule="auto" w:line="288" w:before="18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table below, which may contain slight summation differences due to rounding, reconciles reported net income and reported diluted earnings per share, the most directly comparable U.S. GAAP financial measures, to Adjusted Net Income and Adjusted Diluted Earnings Per Share.</w:t>
      </w:r>
    </w:p>
    <w:tbl>
      <w:tblPr>
        <w:tblW w:w="10205" w:type="dxa"/>
        <w:jc w:val="left"/>
        <w:tblInd w:w="0" w:type="dxa"/>
        <w:tblLayout w:type="fixed"/>
        <w:tblCellMar>
          <w:top w:w="28" w:type="dxa"/>
          <w:left w:w="28" w:type="dxa"/>
          <w:bottom w:w="28" w:type="dxa"/>
          <w:right w:w="28" w:type="dxa"/>
        </w:tblCellMar>
      </w:tblPr>
      <w:tblGrid>
        <w:gridCol w:w="1001"/>
        <w:gridCol w:w="782"/>
        <w:gridCol w:w="785"/>
        <w:gridCol w:w="393"/>
        <w:gridCol w:w="936"/>
        <w:gridCol w:w="218"/>
        <w:gridCol w:w="109"/>
        <w:gridCol w:w="109"/>
        <w:gridCol w:w="109"/>
        <w:gridCol w:w="442"/>
        <w:gridCol w:w="1051"/>
        <w:gridCol w:w="246"/>
        <w:gridCol w:w="109"/>
        <w:gridCol w:w="109"/>
        <w:gridCol w:w="109"/>
        <w:gridCol w:w="359"/>
        <w:gridCol w:w="1020"/>
        <w:gridCol w:w="199"/>
        <w:gridCol w:w="109"/>
        <w:gridCol w:w="109"/>
        <w:gridCol w:w="109"/>
        <w:gridCol w:w="427"/>
        <w:gridCol w:w="1018"/>
        <w:gridCol w:w="347"/>
      </w:tblGrid>
      <w:tr>
        <w:trPr/>
        <w:tc>
          <w:tcPr>
            <w:tcW w:w="100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2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Months Ended September 30, </w:t>
            </w:r>
          </w:p>
        </w:tc>
      </w:tr>
      <w:tr>
        <w:trPr/>
        <w:tc>
          <w:tcPr>
            <w:tcW w:w="2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Income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Diluted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Income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Diluted Earnings Per Share</w:t>
            </w:r>
          </w:p>
        </w:tc>
      </w:tr>
      <w:tr>
        <w:trPr/>
        <w:tc>
          <w:tcPr>
            <w:tcW w:w="2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Reported U.S. GAAP measure</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0.18 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0.65 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w:t>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stock-based compensation expense</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0.08 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0.37 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8"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r>
      <w:tr>
        <w:trPr/>
        <w:tc>
          <w:tcPr>
            <w:tcW w:w="2568"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r>
      <w:tr>
        <w:trPr/>
        <w:tc>
          <w:tcPr>
            <w:tcW w:w="2568"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r>
      <w:tr>
        <w:trPr/>
        <w:tc>
          <w:tcPr>
            <w:tcW w:w="2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and integration costs</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0.44 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8"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r>
      <w:tr>
        <w:trPr/>
        <w:tc>
          <w:tcPr>
            <w:tcW w:w="2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Losses on fair value of investment</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8"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r>
      <w:tr>
        <w:trPr/>
        <w:tc>
          <w:tcPr>
            <w:tcW w:w="2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adjustments, pre-tax</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0.90 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0.89 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8"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pPr>
            <w:r>
              <w:rPr>
                <w:color w:val="000000"/>
              </w:rPr>
              <w:t>   </w:t>
            </w:r>
            <w:r>
              <w:rPr>
                <w:rFonts w:ascii="Times New Roman;sans-serif" w:hAnsi="Times New Roman;sans-serif"/>
                <w:b w:val="false"/>
                <w:color w:val="000000"/>
                <w:sz w:val="18"/>
              </w:rPr>
              <w:t xml:space="preserve">Income tax effect of adjustments </w:t>
            </w:r>
            <w:r>
              <w:rPr>
                <w:rFonts w:ascii="Times New Roman;sans-serif" w:hAnsi="Times New Roman;sans-serif"/>
                <w:b w:val="false"/>
                <w:color w:val="000000"/>
                <w:sz w:val="12"/>
              </w:rPr>
              <w:t>(a)</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(0.21)</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8"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r>
      <w:tr>
        <w:trPr/>
        <w:tc>
          <w:tcPr>
            <w:tcW w:w="2568"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non-U.S. GAAP measure</w:t>
            </w:r>
          </w:p>
        </w:tc>
        <w:tc>
          <w:tcPr>
            <w:tcW w:w="3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75.9 </w:t>
            </w:r>
          </w:p>
        </w:tc>
        <w:tc>
          <w:tcPr>
            <w:tcW w:w="2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0.95 </w:t>
            </w:r>
          </w:p>
        </w:tc>
        <w:tc>
          <w:tcPr>
            <w:tcW w:w="2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100.8 </w:t>
            </w:r>
          </w:p>
        </w:tc>
        <w:tc>
          <w:tcPr>
            <w:tcW w:w="1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3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40"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39</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50"/>
        <w:gridCol w:w="712"/>
        <w:gridCol w:w="715"/>
        <w:gridCol w:w="406"/>
        <w:gridCol w:w="1154"/>
        <w:gridCol w:w="226"/>
        <w:gridCol w:w="109"/>
        <w:gridCol w:w="109"/>
        <w:gridCol w:w="109"/>
        <w:gridCol w:w="448"/>
        <w:gridCol w:w="1212"/>
        <w:gridCol w:w="249"/>
        <w:gridCol w:w="109"/>
        <w:gridCol w:w="109"/>
        <w:gridCol w:w="109"/>
        <w:gridCol w:w="338"/>
        <w:gridCol w:w="959"/>
        <w:gridCol w:w="187"/>
        <w:gridCol w:w="109"/>
        <w:gridCol w:w="109"/>
        <w:gridCol w:w="109"/>
        <w:gridCol w:w="398"/>
        <w:gridCol w:w="948"/>
        <w:gridCol w:w="322"/>
      </w:tblGrid>
      <w:tr>
        <w:trPr/>
        <w:tc>
          <w:tcPr>
            <w:tcW w:w="95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2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Nine Months Ended September 30, </w:t>
            </w:r>
          </w:p>
        </w:tc>
      </w:tr>
      <w:tr>
        <w:trPr/>
        <w:tc>
          <w:tcPr>
            <w:tcW w:w="2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(Loss) Income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Diluted (Loss)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Income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Diluted Earnings Per Share</w:t>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Reported U.S. GAAP measure</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(0.65)</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0.38 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w:t>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stock-based compensation expense</w:t>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0.25 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r>
      <w:tr>
        <w:trPr/>
        <w:tc>
          <w:tcPr>
            <w:tcW w:w="237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r>
      <w:tr>
        <w:trPr/>
        <w:tc>
          <w:tcPr>
            <w:tcW w:w="237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and integration costs</w:t>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0.79 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Losses on fair value of investment</w:t>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0.10 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Bargain purchase gain</w:t>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adjustments, pre-tax</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166.5 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18"/>
              </w:rPr>
              <w:t xml:space="preserve">Income tax effect of adjustments </w:t>
            </w:r>
            <w:r>
              <w:rPr>
                <w:rFonts w:ascii="Times New Roman;sans-serif" w:hAnsi="Times New Roman;sans-serif"/>
                <w:b w:val="false"/>
                <w:color w:val="000000"/>
                <w:sz w:val="12"/>
              </w:rPr>
              <w:t>(a)</w:t>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(0.75)</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(0.56)</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non-U.S. GAAP measure</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104.7 </w:t>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2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154.8 </w:t>
            </w:r>
          </w:p>
        </w:tc>
        <w:tc>
          <w:tcPr>
            <w:tcW w:w="1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3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    Represents the tax effects of the adjusted items that are subject to tax, including the tax effects of non-cash stock-based compensation expense, including from share-based payment awards. Tax effects are determined based on the tax treatment of the related item, the incremental statutory tax rate of the jurisdictions pertaining to the adjustment, and their effects on pre-tax income. For the three and nine month periods ended September 30, 2023, our consolidated effective tax rates, as reported, were an expense of 33.1% and a benefit of 41.4%, respectively, and as adjusted, were 18.8% and 18.9%, respectively. For the three and nine month periods ended September 30, 2022, our consolidated effective tax rates, as reported, were an expense of 18.4% and a benefit of 0.2%, respectively, and as adjusted, were 20.9% and 21.4%,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18"/>
        </w:rPr>
      </w:pPr>
      <w:r>
        <w:rPr>
          <w:rFonts w:ascii="Times New Roman;sans-serif" w:hAnsi="Times New Roman;sans-serif"/>
          <w:b/>
          <w:color w:val="000000"/>
          <w:sz w:val="18"/>
        </w:rPr>
        <w:t>Financial Condition, Liquidity and Capital Resources</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Our primary sources of liquidity are cash flows from operations, availability under our Credit Facility and our cash balances. Our primary liquidity needs are for working capital, capital expenditures, insurance and performance collateral in the form of cash and letters of credit, debt service, income taxes, earn-out obligations and equity and other investment funding requirements. We also evaluate opportunities for strategic acquisitions, investments and other arrangements from time to time, and we may consider opportunities to borrow additional funds, which may include borrowings under our Credit Facility or debt issuances, or to refinance, extend the terms of our existing indebtedness or retire outstanding debt, or to repurchase additional shares of our outstanding common stock under share repurchase authorizations, any of which may require our use of cash.</w:t>
      </w:r>
    </w:p>
    <w:p>
      <w:pPr>
        <w:pStyle w:val="TextBody"/>
        <w:bidi w:val="0"/>
        <w:spacing w:lineRule="auto" w:line="288" w:before="120" w:after="283"/>
        <w:ind w:left="0" w:right="0" w:firstLine="720"/>
        <w:jc w:val="both"/>
        <w:rPr/>
      </w:pPr>
      <w:r>
        <w:rPr>
          <w:rFonts w:ascii="Times New Roman;sans-serif" w:hAnsi="Times New Roman;sans-serif"/>
          <w:b/>
          <w:i/>
          <w:color w:val="000000"/>
          <w:sz w:val="18"/>
        </w:rPr>
        <w:t>Capital Expenditures</w:t>
      </w:r>
      <w:r>
        <w:rPr>
          <w:rFonts w:ascii="Times New Roman;sans-serif" w:hAnsi="Times New Roman;sans-serif"/>
          <w:b w:val="false"/>
          <w:i/>
          <w:color w:val="000000"/>
          <w:sz w:val="18"/>
        </w:rPr>
        <w:t xml:space="preserve">. </w:t>
      </w:r>
      <w:r>
        <w:rPr>
          <w:rFonts w:ascii="Times New Roman;sans-serif" w:hAnsi="Times New Roman;sans-serif"/>
          <w:b w:val="false"/>
          <w:color w:val="000000"/>
          <w:sz w:val="18"/>
        </w:rPr>
        <w:t>For the nine month period ended September 30, 2023, we spent approximately $157 million on capital expenditures, or $101 million, net of asset disposals, and incurred approximately $113 million of equipment purchases under finance leases and other financing arrangements. We estimate that we will spend approximately $175 million on capital expenditures, or approximately $100 million, net of asset disposals, in 2023, and we expect to incur approximately $150 million of equipment purchases under finance leases and other financing arrangements. Actual capital expenditures may increase or decrease in the future depending upon business activity levels, as well as ongoing assessments of equipment lease versus purchase decisions based on short and long-term equipment requirements.</w:t>
      </w:r>
    </w:p>
    <w:p>
      <w:pPr>
        <w:pStyle w:val="TextBody"/>
        <w:bidi w:val="0"/>
        <w:spacing w:lineRule="auto" w:line="288" w:before="120" w:after="283"/>
        <w:ind w:left="0" w:right="0" w:firstLine="720"/>
        <w:jc w:val="both"/>
        <w:rPr/>
      </w:pPr>
      <w:r>
        <w:rPr>
          <w:rFonts w:ascii="Times New Roman;sans-serif" w:hAnsi="Times New Roman;sans-serif"/>
          <w:b/>
          <w:i/>
          <w:color w:val="000000"/>
          <w:sz w:val="18"/>
        </w:rPr>
        <w:t>Acquisitions and Earn-Out Liabilities.</w:t>
      </w:r>
      <w:r>
        <w:rPr>
          <w:color w:val="000000"/>
        </w:rPr>
        <w:t xml:space="preserve"> </w:t>
      </w:r>
      <w:r>
        <w:rPr>
          <w:rFonts w:ascii="Times New Roman;sans-serif" w:hAnsi="Times New Roman;sans-serif"/>
          <w:b w:val="false"/>
          <w:color w:val="000000"/>
          <w:sz w:val="18"/>
        </w:rPr>
        <w:t>We typically utilize cash for business acquisitions and other strategic arrangements, and for the nine month period ended September 30, 2023, we used $69 million of cash for this purpose. In addition, in most of our acquisitions, we have agreed to make future payments to the sellers that are contingent upon the future earnings performance of the acquired businesses, which we also refer to as “Earn-out” payments. Earn-out payments may be paid in cash or, under specific circumstances, MasTec common stock, or a combination thereof, generally at our option. The estimated total value of future Earn-out liabilities as of September 30, 2023 was approximately $83 million. Of this amount, approximately $12 million represents the liability for earned amounts. The remainder is management’s estimate of Earn-out liabilities that are contingent upon future performance. For the nine month periods ended September 30, 2023 and 2022, we made $39 million and $38 million, respectively, of payments for Earn-outs.</w:t>
      </w:r>
    </w:p>
    <w:p>
      <w:pPr>
        <w:pStyle w:val="TextBody"/>
        <w:bidi w:val="0"/>
        <w:spacing w:lineRule="auto" w:line="288" w:before="120" w:after="120"/>
        <w:ind w:left="0" w:right="0" w:firstLine="720"/>
        <w:jc w:val="both"/>
        <w:rPr/>
      </w:pPr>
      <w:r>
        <w:rPr>
          <w:rFonts w:ascii="Times New Roman;sans-serif" w:hAnsi="Times New Roman;sans-serif"/>
          <w:b w:val="false"/>
          <w:color w:val="000000"/>
          <w:sz w:val="18"/>
        </w:rPr>
        <w:t>Our acquisition of HMG provides for</w:t>
      </w:r>
      <w:r>
        <w:rPr>
          <w:color w:val="000000"/>
          <w:shd w:fill="FFFFFF" w:val="clear"/>
        </w:rPr>
        <w:t xml:space="preserve"> </w:t>
      </w:r>
      <w:r>
        <w:rPr>
          <w:rFonts w:ascii="Times New Roman;sans-serif" w:hAnsi="Times New Roman;sans-serif"/>
          <w:b w:val="false"/>
          <w:color w:val="000000"/>
          <w:sz w:val="18"/>
          <w:shd w:fill="FFFFFF" w:val="clear"/>
        </w:rPr>
        <w:t xml:space="preserve">certain additional payments to be made to the sellers if certain acquired receivables are </w:t>
      </w:r>
      <w:r>
        <w:rPr>
          <w:rFonts w:ascii="Times New Roman;sans-serif" w:hAnsi="Times New Roman;sans-serif"/>
          <w:b w:val="false"/>
          <w:color w:val="000000"/>
          <w:sz w:val="18"/>
        </w:rPr>
        <w:t>collected, which we refer to as the “Additional Payments.”</w:t>
      </w:r>
      <w:r>
        <w:rPr>
          <w:color w:val="000000"/>
          <w:shd w:fill="FFFFFF" w:val="clear"/>
        </w:rPr>
        <w:t xml:space="preserve"> </w:t>
      </w:r>
      <w:r>
        <w:rPr>
          <w:rFonts w:ascii="Times New Roman;sans-serif" w:hAnsi="Times New Roman;sans-serif"/>
          <w:b w:val="false"/>
          <w:color w:val="000000"/>
          <w:sz w:val="18"/>
          <w:shd w:fill="FFFFFF" w:val="clear"/>
        </w:rPr>
        <w:t xml:space="preserve">Pursuant to the terms of the HMG purchase agreement, a portion of the Additional Payments will be made in cash, with the remainder due in shares of MasTec common stock. </w:t>
      </w:r>
      <w:r>
        <w:rPr>
          <w:rFonts w:ascii="Times New Roman;sans-serif" w:hAnsi="Times New Roman;sans-serif"/>
          <w:b w:val="false"/>
          <w:color w:val="000000"/>
          <w:sz w:val="18"/>
        </w:rPr>
        <w:t>An Additional Payment of approximately $29.4 million</w:t>
      </w:r>
      <w:r>
        <w:rPr>
          <w:color w:val="000000"/>
          <w:shd w:fill="FFFFFF" w:val="clear"/>
        </w:rPr>
        <w:t xml:space="preserve"> </w:t>
      </w:r>
      <w:r>
        <w:rPr>
          <w:rFonts w:ascii="Times New Roman;sans-serif" w:hAnsi="Times New Roman;sans-serif"/>
          <w:b w:val="false"/>
          <w:color w:val="000000"/>
          <w:sz w:val="18"/>
          <w:shd w:fill="FFFFFF" w:val="clear"/>
        </w:rPr>
        <w:t xml:space="preserve">was made in May 2022, which payment was composed of approximately </w:t>
      </w:r>
      <w:r>
        <w:rPr>
          <w:rFonts w:ascii="Times New Roman;sans-serif" w:hAnsi="Times New Roman;sans-serif"/>
          <w:b w:val="false"/>
          <w:color w:val="000000"/>
          <w:sz w:val="18"/>
        </w:rPr>
        <w:t>$18 million</w:t>
      </w:r>
      <w:r>
        <w:rPr>
          <w:color w:val="000000"/>
          <w:shd w:fill="FFFFFF" w:val="clear"/>
        </w:rPr>
        <w:t xml:space="preserve"> </w:t>
      </w:r>
      <w:r>
        <w:rPr>
          <w:rFonts w:ascii="Times New Roman;sans-serif" w:hAnsi="Times New Roman;sans-serif"/>
          <w:b w:val="false"/>
          <w:color w:val="000000"/>
          <w:sz w:val="18"/>
          <w:shd w:fill="FFFFFF" w:val="clear"/>
        </w:rPr>
        <w:t xml:space="preserve">in cash and </w:t>
      </w:r>
      <w:r>
        <w:rPr>
          <w:rFonts w:ascii="Times New Roman;sans-serif" w:hAnsi="Times New Roman;sans-serif"/>
          <w:b w:val="false"/>
          <w:color w:val="000000"/>
          <w:sz w:val="18"/>
        </w:rPr>
        <w:t>133,157</w:t>
      </w:r>
      <w:r>
        <w:rPr>
          <w:color w:val="000000"/>
          <w:shd w:fill="FFFFFF" w:val="clear"/>
        </w:rPr>
        <w:t xml:space="preserve"> </w:t>
      </w:r>
      <w:r>
        <w:rPr>
          <w:rFonts w:ascii="Times New Roman;sans-serif" w:hAnsi="Times New Roman;sans-serif"/>
          <w:b w:val="false"/>
          <w:color w:val="000000"/>
          <w:sz w:val="18"/>
          <w:shd w:fill="FFFFFF" w:val="clear"/>
        </w:rPr>
        <w:t xml:space="preserve">shares of MasTec common stock. As of </w:t>
      </w:r>
      <w:r>
        <w:rPr>
          <w:rFonts w:ascii="Times New Roman;sans-serif" w:hAnsi="Times New Roman;sans-serif"/>
          <w:b w:val="false"/>
          <w:color w:val="000000"/>
          <w:sz w:val="18"/>
        </w:rPr>
        <w:t>September 30, 2023, t</w:t>
      </w:r>
      <w:r>
        <w:rPr>
          <w:rFonts w:ascii="Times New Roman;sans-serif" w:hAnsi="Times New Roman;sans-serif"/>
          <w:b w:val="false"/>
          <w:color w:val="000000"/>
          <w:sz w:val="18"/>
          <w:shd w:fill="FFFFFF" w:val="clear"/>
        </w:rPr>
        <w:t xml:space="preserve">he estimated fair value of remaining Additional Payments was approximately </w:t>
      </w:r>
      <w:r>
        <w:rPr>
          <w:rFonts w:ascii="Times New Roman;sans-serif" w:hAnsi="Times New Roman;sans-serif"/>
          <w:b w:val="false"/>
          <w:color w:val="000000"/>
          <w:sz w:val="18"/>
        </w:rPr>
        <w:t xml:space="preserve">$33 million, which, </w:t>
      </w:r>
      <w:r>
        <w:rPr>
          <w:rFonts w:ascii="Times New Roman;sans-serif" w:hAnsi="Times New Roman;sans-serif"/>
          <w:b w:val="false"/>
          <w:color w:val="000000"/>
          <w:sz w:val="18"/>
          <w:shd w:fill="FFFFFF" w:val="clear"/>
        </w:rPr>
        <w:t>f</w:t>
      </w:r>
      <w:r>
        <w:rPr>
          <w:rFonts w:ascii="Times New Roman;sans-serif" w:hAnsi="Times New Roman;sans-serif"/>
          <w:b w:val="false"/>
          <w:color w:val="000000"/>
          <w:sz w:val="18"/>
        </w:rPr>
        <w:t xml:space="preserve">or the nine month period ended September 30, 2023, </w:t>
      </w:r>
      <w:r>
        <w:rPr>
          <w:rFonts w:ascii="Times New Roman;sans-serif" w:hAnsi="Times New Roman;sans-serif"/>
          <w:b w:val="false"/>
          <w:color w:val="000000"/>
          <w:sz w:val="18"/>
          <w:shd w:fill="FFFFFF" w:val="clear"/>
        </w:rPr>
        <w:t xml:space="preserve">includes the effect of unrealized fair value </w:t>
      </w:r>
      <w:r>
        <w:rPr>
          <w:rFonts w:ascii="Times New Roman;sans-serif" w:hAnsi="Times New Roman;sans-serif"/>
          <w:b w:val="false"/>
          <w:color w:val="000000"/>
          <w:sz w:val="18"/>
        </w:rPr>
        <w:t>gains</w:t>
      </w:r>
      <w:r>
        <w:rPr>
          <w:color w:val="000000"/>
          <w:shd w:fill="FFFFFF" w:val="clear"/>
        </w:rPr>
        <w:t xml:space="preserve"> </w:t>
      </w:r>
      <w:r>
        <w:rPr>
          <w:rFonts w:ascii="Times New Roman;sans-serif" w:hAnsi="Times New Roman;sans-serif"/>
          <w:b w:val="false"/>
          <w:color w:val="000000"/>
          <w:sz w:val="18"/>
          <w:shd w:fill="FFFFFF" w:val="clear"/>
        </w:rPr>
        <w:t xml:space="preserve">related to the contingent shares of approximately </w:t>
      </w:r>
      <w:r>
        <w:rPr>
          <w:rFonts w:ascii="Times New Roman;sans-serif" w:hAnsi="Times New Roman;sans-serif"/>
          <w:b w:val="false"/>
          <w:color w:val="000000"/>
          <w:sz w:val="18"/>
        </w:rPr>
        <w:t>$2 million</w:t>
      </w:r>
      <w:r>
        <w:rPr>
          <w:color w:val="000000"/>
          <w:shd w:fill="FFFFFF" w:val="clear"/>
        </w:rPr>
        <w:t xml:space="preserve"> </w:t>
      </w:r>
      <w:r>
        <w:rPr>
          <w:rFonts w:ascii="Times New Roman;sans-serif" w:hAnsi="Times New Roman;sans-serif"/>
          <w:b w:val="false"/>
          <w:color w:val="000000"/>
          <w:sz w:val="18"/>
          <w:shd w:fill="FFFFFF" w:val="clear"/>
        </w:rPr>
        <w:t>and</w:t>
      </w:r>
      <w:r>
        <w:rPr>
          <w:color w:val="000000"/>
        </w:rPr>
        <w:t xml:space="preserve"> </w:t>
      </w:r>
      <w:r>
        <w:rPr>
          <w:rFonts w:ascii="Times New Roman;sans-serif" w:hAnsi="Times New Roman;sans-serif"/>
          <w:b w:val="false"/>
          <w:color w:val="000000"/>
          <w:sz w:val="18"/>
        </w:rPr>
        <w:t>a reduction</w:t>
      </w:r>
      <w:r>
        <w:rPr>
          <w:color w:val="000000"/>
          <w:shd w:fill="FFFFFF" w:val="clear"/>
        </w:rPr>
        <w:t xml:space="preserve"> </w:t>
      </w:r>
      <w:r>
        <w:rPr>
          <w:rFonts w:ascii="Times New Roman;sans-serif" w:hAnsi="Times New Roman;sans-serif"/>
          <w:b w:val="false"/>
          <w:color w:val="000000"/>
          <w:sz w:val="18"/>
          <w:shd w:fill="FFFFFF" w:val="clear"/>
        </w:rPr>
        <w:t xml:space="preserve">of approximately </w:t>
      </w:r>
      <w:r>
        <w:rPr>
          <w:rFonts w:ascii="Times New Roman;sans-serif" w:hAnsi="Times New Roman;sans-serif"/>
          <w:b w:val="false"/>
          <w:color w:val="000000"/>
          <w:sz w:val="18"/>
        </w:rPr>
        <w:t>$2 million</w:t>
      </w:r>
      <w:r>
        <w:rPr>
          <w:color w:val="000000"/>
          <w:shd w:fill="FFFFFF" w:val="clear"/>
        </w:rPr>
        <w:t xml:space="preserve"> </w:t>
      </w:r>
      <w:r>
        <w:rPr>
          <w:rFonts w:ascii="Times New Roman;sans-serif" w:hAnsi="Times New Roman;sans-serif"/>
          <w:b w:val="false"/>
          <w:color w:val="000000"/>
          <w:sz w:val="18"/>
          <w:shd w:fill="FFFFFF" w:val="clear"/>
        </w:rPr>
        <w:t>in the estimated remaining liability from changes in collections attributed to acquired balances</w:t>
      </w:r>
      <w:r>
        <w:rPr>
          <w:rFonts w:ascii="Times New Roman;sans-serif" w:hAnsi="Times New Roman;sans-serif"/>
          <w:b w:val="false"/>
          <w:color w:val="000000"/>
          <w:sz w:val="18"/>
        </w:rPr>
        <w:t xml:space="preserve">. The number of shares that would be paid in connection with the </w:t>
      </w:r>
      <w:r>
        <w:rPr>
          <w:rFonts w:ascii="Times New Roman;sans-serif" w:hAnsi="Times New Roman;sans-serif"/>
          <w:b w:val="false"/>
          <w:color w:val="000000"/>
          <w:sz w:val="18"/>
          <w:shd w:fill="FFFFFF" w:val="clear"/>
        </w:rPr>
        <w:t xml:space="preserve">remaining Additional Payments as of </w:t>
      </w:r>
      <w:r>
        <w:rPr>
          <w:rFonts w:ascii="Times New Roman;sans-serif" w:hAnsi="Times New Roman;sans-serif"/>
          <w:b w:val="false"/>
          <w:color w:val="000000"/>
          <w:sz w:val="18"/>
        </w:rPr>
        <w:t xml:space="preserve">September 30, 2023 </w:t>
      </w:r>
      <w:r>
        <w:rPr>
          <w:rFonts w:ascii="Times New Roman;sans-serif" w:hAnsi="Times New Roman;sans-serif"/>
          <w:b w:val="false"/>
          <w:color w:val="000000"/>
          <w:sz w:val="18"/>
          <w:shd w:fill="FFFFFF" w:val="clear"/>
        </w:rPr>
        <w:t xml:space="preserve">is approximately </w:t>
      </w:r>
      <w:r>
        <w:rPr>
          <w:rFonts w:ascii="Times New Roman;sans-serif" w:hAnsi="Times New Roman;sans-serif"/>
          <w:b w:val="false"/>
          <w:color w:val="000000"/>
          <w:sz w:val="18"/>
        </w:rPr>
        <w:t>160,000</w:t>
      </w:r>
      <w:r>
        <w:rPr>
          <w:color w:val="000000"/>
          <w:shd w:fill="FFFFFF" w:val="clear"/>
        </w:rPr>
        <w:t xml:space="preserve"> </w:t>
      </w:r>
      <w:r>
        <w:rPr>
          <w:rFonts w:ascii="Times New Roman;sans-serif" w:hAnsi="Times New Roman;sans-serif"/>
          <w:b w:val="false"/>
          <w:color w:val="000000"/>
          <w:sz w:val="18"/>
          <w:shd w:fill="FFFFFF" w:val="clear"/>
        </w:rPr>
        <w:t xml:space="preserve">shares. In addition, </w:t>
      </w:r>
      <w:r>
        <w:rPr>
          <w:rFonts w:ascii="Times New Roman;sans-serif" w:hAnsi="Times New Roman;sans-serif"/>
          <w:b w:val="false"/>
          <w:color w:val="000000"/>
          <w:sz w:val="18"/>
        </w:rPr>
        <w:t xml:space="preserve">for the nine month period ended September 30, 2023, </w:t>
      </w:r>
      <w:r>
        <w:rPr>
          <w:rFonts w:ascii="Times New Roman;sans-serif" w:hAnsi="Times New Roman;sans-serif"/>
          <w:b w:val="false"/>
          <w:color w:val="000000"/>
          <w:sz w:val="18"/>
          <w:shd w:fill="FFFFFF" w:val="clear"/>
        </w:rPr>
        <w:t xml:space="preserve">a </w:t>
      </w:r>
      <w:r>
        <w:rPr>
          <w:rFonts w:ascii="Times New Roman;sans-serif" w:hAnsi="Times New Roman;sans-serif"/>
          <w:b w:val="false"/>
          <w:color w:val="000000"/>
          <w:sz w:val="18"/>
        </w:rPr>
        <w:t xml:space="preserve">fair value gain of approximately $3 million was recognized related primarily to the remaining unexercised IEA warrants that expired on March 26, 2023. </w:t>
      </w:r>
    </w:p>
    <w:p>
      <w:pPr>
        <w:pStyle w:val="TextBody"/>
        <w:bidi w:val="0"/>
        <w:spacing w:lineRule="auto" w:line="288" w:before="120" w:after="120"/>
        <w:ind w:left="0" w:right="0" w:firstLine="720"/>
        <w:jc w:val="both"/>
        <w:rPr/>
      </w:pPr>
      <w:r>
        <w:rPr>
          <w:rFonts w:ascii="Times New Roman;sans-serif" w:hAnsi="Times New Roman;sans-serif"/>
          <w:b/>
          <w:i/>
          <w:color w:val="000000"/>
          <w:sz w:val="18"/>
        </w:rPr>
        <w:t>Income Taxes.</w:t>
      </w:r>
      <w:r>
        <w:rPr>
          <w:color w:val="000000"/>
        </w:rPr>
        <w:t xml:space="preserve"> </w:t>
      </w:r>
      <w:r>
        <w:rPr>
          <w:rFonts w:ascii="Times New Roman;sans-serif" w:hAnsi="Times New Roman;sans-serif"/>
          <w:b w:val="false"/>
          <w:color w:val="000000"/>
          <w:sz w:val="18"/>
        </w:rPr>
        <w:t>For the nine month periods ended September 30, 2023 and 2022, tax payments, net of tax refunds totaled approximately $15 million and $2 million, respectively. Our tax payments vary with changes in taxable income and earnings based on estimates of full year taxable income activity and estimated tax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41"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40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ind w:left="0" w:right="0" w:firstLine="720"/>
        <w:jc w:val="both"/>
        <w:rPr/>
      </w:pPr>
      <w:r>
        <w:rPr>
          <w:rFonts w:ascii="Times New Roman;sans-serif" w:hAnsi="Times New Roman;sans-serif"/>
          <w:b/>
          <w:i/>
          <w:color w:val="000000"/>
          <w:sz w:val="18"/>
        </w:rPr>
        <w:t>Working Capital.</w:t>
      </w:r>
      <w:r>
        <w:rPr>
          <w:color w:val="000000"/>
        </w:rPr>
        <w:t xml:space="preserve"> </w:t>
      </w:r>
      <w:r>
        <w:rPr>
          <w:rFonts w:ascii="Times New Roman;sans-serif" w:hAnsi="Times New Roman;sans-serif"/>
          <w:b w:val="false"/>
          <w:color w:val="000000"/>
          <w:sz w:val="18"/>
        </w:rPr>
        <w:t>We need working capital to support seasonal variations in our business, primarily due to the effect of weather conditions on external construction and maintenance work and the spending patterns of our customers, both of which influence the timing of associated spending to support related customer demand. Working capital needs are generally higher during the summer and fall months due to increased demand for our services when favorable weather conditions exist in many of the regions in which we operate. Conversely, working capital needs are typically converted to cash during the winter months. These seasonal trends, however, can be offset by changes in the timing of projects, which can be affected by project delays or accelerations and/or other factors that may affect customer spending.</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Working capital requirements also tend to increase when we commence multiple projects or particularly large projects because labor, including subcontractor costs, and certain other costs, including inventory, typically become payable before the receivables resulting from work performed are collected. The timing of billings and project close-outs can also contribute to changes in unbilled revenue. As of September 30, 2023, we expect that substantially all of our unbilled receivables will be billed to customers in the normal course of business within the next twelve months. Total accounts receivable, which consists of contract billings, unbilled receivables and retainage, net of allowance, increased to approximately $3.5 billion as of September 30, 2023 from $3.1 billion as of December 31, 2022 due, in part, to higher levels of revenue, as well as timing of project billings and collections. See below for discussion of our days sales outstanding, net of contract liabilities, which we refer to as days sales outstanding, or “DSO.”</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Our payment billing terms are generally net 30 days, and some of our contracts allow our customers to retain a portion of the contract amount (generally, from 5% to 10% of billings) until the job is completed. As part of our ongoing working capital management practices, we evaluate opportunities to improve our working capital cycle time through contractual provisions and certain financing arrangements. For certain customers, we maintain inventory to meet the materials requirements of the contracts. Occasionally, certain of our customers pay us in advance for a portion of the materials we purchase for their projects or allow us to pre-bill them for materials purchases up to specified amounts. Vendor terms are generally 30 days. Our agreements with subcontractors often contain a “pay-if-paid” provision, whereby our payments to subcontractors are made only after we are paid by our customers.</w:t>
      </w:r>
    </w:p>
    <w:p>
      <w:pPr>
        <w:pStyle w:val="TextBody"/>
        <w:bidi w:val="0"/>
        <w:spacing w:lineRule="auto" w:line="288" w:before="120" w:after="283"/>
        <w:ind w:left="0" w:right="0" w:hanging="360"/>
        <w:jc w:val="both"/>
        <w:rPr>
          <w:rFonts w:ascii="Times New Roman;sans-serif" w:hAnsi="Times New Roman;sans-serif"/>
          <w:b/>
          <w:color w:val="000000"/>
          <w:sz w:val="18"/>
        </w:rPr>
      </w:pPr>
      <w:r>
        <w:rPr>
          <w:rFonts w:ascii="Times New Roman;sans-serif" w:hAnsi="Times New Roman;sans-serif"/>
          <w:b/>
          <w:color w:val="000000"/>
          <w:sz w:val="18"/>
        </w:rPr>
        <w:t>Summary of Financial Condition, Liquidity and Capital Resources</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Including our current assessment of general economic conditions on our results of operations and capital resource requirements, we anticipate that funds generated from operations, borrowings under our credit facilities and our cash balances will be sufficient to meet our working capital requirements, anticipated capital expenditures, debt service obligations, insurance and performance collateral requirements, letter of credit needs, earn-out obligations, required income tax payments, acquisition, strategic arrangement and investment funding requirements, share repurchase activity and other liquidity needs for the next twelve months and the foreseeable future.</w:t>
      </w:r>
    </w:p>
    <w:p>
      <w:pPr>
        <w:pStyle w:val="TextBody"/>
        <w:bidi w:val="0"/>
        <w:spacing w:lineRule="auto" w:line="288" w:before="120" w:after="283"/>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Sources and Uses of Cash</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of September 30, 2023, we had approximately $1,227 million in working capital, defined as current assets less current liabilities, as compared with $1,363 million as of December 31, 2022, a decrease of approximately $136 million. Cash and cash equivalents totaled approximately $214 million and $371 million as of September 30, 2023 and December 31, 2022, respectively, for a decrease of approximately $156 million. See discussion below for further detail regarding our cash flows.</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Sources and uses of cash are summarized below (in millions):</w:t>
      </w:r>
    </w:p>
    <w:tbl>
      <w:tblPr>
        <w:tblW w:w="6490" w:type="dxa"/>
        <w:jc w:val="left"/>
        <w:tblInd w:w="0" w:type="dxa"/>
        <w:tblLayout w:type="fixed"/>
        <w:tblCellMar>
          <w:top w:w="28" w:type="dxa"/>
          <w:left w:w="28" w:type="dxa"/>
          <w:bottom w:w="28" w:type="dxa"/>
          <w:right w:w="28" w:type="dxa"/>
        </w:tblCellMar>
      </w:tblPr>
      <w:tblGrid>
        <w:gridCol w:w="1087"/>
        <w:gridCol w:w="952"/>
        <w:gridCol w:w="960"/>
        <w:gridCol w:w="305"/>
        <w:gridCol w:w="983"/>
        <w:gridCol w:w="169"/>
        <w:gridCol w:w="169"/>
        <w:gridCol w:w="169"/>
        <w:gridCol w:w="169"/>
        <w:gridCol w:w="305"/>
        <w:gridCol w:w="983"/>
        <w:gridCol w:w="239"/>
      </w:tblGrid>
      <w:tr>
        <w:trPr/>
        <w:tc>
          <w:tcPr>
            <w:tcW w:w="108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Nine Months Ended September 30, </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(241.7)</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(139.5)</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pPr>
      <w:r>
        <w:rPr>
          <w:rFonts w:ascii="Times New Roman;sans-serif" w:hAnsi="Times New Roman;sans-serif"/>
          <w:b/>
          <w:i/>
          <w:color w:val="000000"/>
          <w:sz w:val="18"/>
        </w:rPr>
        <w:t>Operating Activities.</w:t>
      </w:r>
      <w:r>
        <w:rPr>
          <w:color w:val="000000"/>
        </w:rPr>
        <w:t xml:space="preserve"> </w:t>
      </w:r>
      <w:r>
        <w:rPr>
          <w:rFonts w:ascii="Times New Roman;sans-serif" w:hAnsi="Times New Roman;sans-serif"/>
          <w:b w:val="false"/>
          <w:color w:val="000000"/>
          <w:sz w:val="18"/>
        </w:rPr>
        <w:t>Cash flow from operations is primarily influenced by changes in the timing of demand for our services and operating margins, but can also be affected by working capital needs associated with the various types of services we provide. Working capital is affected by changes in total accounts receivable, prepaid expenses and other current assets, accounts payable and payroll tax payments, accrued expenses and contract liabilities, all of which tend to be related. These working capital items are affected by changes in revenue resulting from the timing and volume of work performed, variability in the timing of customer billings and collections of receivables, as well as settlement of payables and other obligations. Net cash provided by operating activities for the nine month period ended September 30, 2023 was $197 million, as compared with approximately $119 million of net cash provided by operating activities for the same period in 2022, for an increase in net cash provided by operating activities of approximately $78 million, due, in part, to the effect of timing-related changes in working capital-related assets and liabilities, net, resulting from ordinary course project activity, including the positive effect of changes in accounts receivable, net (including the benefit of certain accounts receivable financing arrangements), inventories and contract liabilities, offset, in part by a reduction in accounts payable and accrued expenses; and a net increase in expenses that reconcile net income to operating cash flows, including depreciation and amortization of intangible assets. The above noted factors that increased cash provided by operating activities were offset, in part, by a decrease in net income as compared with the prior year period.</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DSO is calculated as total accounts receivable, net of allowance, less contract liabilities, divided by average daily revenue for the most recently completed quarter as of the balance sheet date. Our days sales outstanding, net of contract liabilities (“DSO”), was 85 as of September 30, 2023, and as of December 31, 2022, was 83. Our DSOs can fluctuate from period to period due to timing of billings, billing terms, collections and settlements, timing of project close-outs and retainage collections, changes in project and customer mix and the effect of working capital initiatives, including certain accounts receivable financing arrangements. The increase in DSO as of September 30, 2023 as compared with December 31,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2"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41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was due to timing of ordinary course billing and collection activities, offset, in part, by the benefit of improved cash collections from certain accounts receivable financing arrangements. Other than ordinary course matters subject to litigation, we do not anticipate material collection issues related to our outstanding accounts receivable balances, nor do we believe that we have material amounts due from customers experiencing financial difficulties. Based on current information, we expect to collect substantially all of our outstanding accounts receivable balances within the next twelve months.</w:t>
      </w:r>
    </w:p>
    <w:p>
      <w:pPr>
        <w:pStyle w:val="TextBody"/>
        <w:bidi w:val="0"/>
        <w:spacing w:lineRule="auto" w:line="288" w:before="120" w:after="283"/>
        <w:ind w:left="0" w:right="0" w:firstLine="720"/>
        <w:jc w:val="both"/>
        <w:rPr/>
      </w:pPr>
      <w:r>
        <w:rPr>
          <w:rFonts w:ascii="Times New Roman;sans-serif" w:hAnsi="Times New Roman;sans-serif"/>
          <w:b/>
          <w:i/>
          <w:color w:val="000000"/>
          <w:sz w:val="18"/>
        </w:rPr>
        <w:t>Investing Activities.</w:t>
      </w:r>
      <w:r>
        <w:rPr>
          <w:color w:val="000000"/>
        </w:rPr>
        <w:t xml:space="preserve"> </w:t>
      </w:r>
      <w:r>
        <w:rPr>
          <w:rFonts w:ascii="Times New Roman;sans-serif" w:hAnsi="Times New Roman;sans-serif"/>
          <w:b w:val="false"/>
          <w:color w:val="000000"/>
          <w:sz w:val="18"/>
        </w:rPr>
        <w:t>Net cash used in investing activities decreased by approximately $70 million to $172 million for the nine month period ended September 30, 2023 from $242 million for the same period in 2022. Capital expenditures for the nine month period ended September 30, 2023 totaled $157 million, or $101 million, net of asset disposals, as compared with $213 million, or $166 million, net of asset disposals, for the same period in 2022, for a decrease in cash used in investing activities of approximately $65 million, due to the effect in the prior year period of acceleration of capital expenditures to address certain growth initiatives and supply chain disruption concerns. Cash used in investing activities from acquisition activity was slightly lower f</w:t>
      </w:r>
      <w:r>
        <w:rPr>
          <w:rFonts w:ascii="Times New Roman;sans-serif" w:hAnsi="Times New Roman;sans-serif"/>
          <w:b w:val="false"/>
          <w:color w:val="000000"/>
          <w:sz w:val="18"/>
          <w:shd w:fill="FFFFFF" w:val="clear"/>
        </w:rPr>
        <w:t xml:space="preserve">or the </w:t>
      </w:r>
      <w:r>
        <w:rPr>
          <w:rFonts w:ascii="Times New Roman;sans-serif" w:hAnsi="Times New Roman;sans-serif"/>
          <w:b w:val="false"/>
          <w:color w:val="000000"/>
          <w:sz w:val="18"/>
        </w:rPr>
        <w:t>nine month period ended September 30, 2023 as compared with the same period in 2022, decreasing to $69 million</w:t>
      </w:r>
      <w:r>
        <w:rPr>
          <w:color w:val="000000"/>
          <w:shd w:fill="FFFFFF" w:val="clear"/>
        </w:rPr>
        <w:t xml:space="preserve"> </w:t>
      </w:r>
      <w:r>
        <w:rPr>
          <w:rFonts w:ascii="Times New Roman;sans-serif" w:hAnsi="Times New Roman;sans-serif"/>
          <w:b w:val="false"/>
          <w:color w:val="000000"/>
          <w:sz w:val="18"/>
          <w:shd w:fill="FFFFFF" w:val="clear"/>
        </w:rPr>
        <w:t>from</w:t>
      </w:r>
      <w:r>
        <w:rPr>
          <w:color w:val="000000"/>
        </w:rPr>
        <w:t xml:space="preserve"> </w:t>
      </w:r>
      <w:r>
        <w:rPr>
          <w:rFonts w:ascii="Times New Roman;sans-serif" w:hAnsi="Times New Roman;sans-serif"/>
          <w:b w:val="false"/>
          <w:color w:val="000000"/>
          <w:sz w:val="18"/>
        </w:rPr>
        <w:t xml:space="preserve">$72 million, a decrease of approximately $3 million. </w:t>
      </w:r>
    </w:p>
    <w:p>
      <w:pPr>
        <w:pStyle w:val="TextBody"/>
        <w:bidi w:val="0"/>
        <w:spacing w:lineRule="auto" w:line="288" w:before="120" w:after="283"/>
        <w:ind w:left="0" w:right="0" w:firstLine="720"/>
        <w:jc w:val="both"/>
        <w:rPr/>
      </w:pPr>
      <w:r>
        <w:rPr>
          <w:rFonts w:ascii="Times New Roman;sans-serif" w:hAnsi="Times New Roman;sans-serif"/>
          <w:b/>
          <w:i/>
          <w:color w:val="000000"/>
          <w:sz w:val="18"/>
        </w:rPr>
        <w:t>Financing Activities.</w:t>
      </w:r>
      <w:r>
        <w:rPr>
          <w:color w:val="000000"/>
        </w:rPr>
        <w:t xml:space="preserve"> </w:t>
      </w:r>
      <w:r>
        <w:rPr>
          <w:rFonts w:ascii="Times New Roman;sans-serif" w:hAnsi="Times New Roman;sans-serif"/>
          <w:b w:val="false"/>
          <w:color w:val="000000"/>
          <w:sz w:val="18"/>
        </w:rPr>
        <w:t xml:space="preserve">Net cash used in financing activities for the nine month period ended September 30, 2023 was $182 million, as compared with $139 million for the same period in 2022, for an increase in cash used in financing activities of $42 million. For the nine month period ended September 30, 2023, we had $13 million of repayments, net of borrowings, under our credit facility and term loans, as compared with $148 million of borrowings, net of repayments, for the same period in 2022, for an increase in cash provided by financing activities of approximately $161 million. Additionally, for the nine month period ended September 30, 2023, we paid approximately $12 million to holders of our non-controlling interests, including $10 million to acquire the remaining 15% interests of one of these entities, whereas for the same period in 2022, we made no payments. </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increase in cash used in financing activities from the above described items was offset, in part, by the effects of share repurchase activity, which totaled $81 million for the nine month period ended September 30, 2022, whereas there were no share repurchases for the same period in 2023. Additionally, payments of acquisition-related contingent consideration included within financing activities totaled $22 million for the nine month period ended September 30, 2023 as compared with $35 million for the same period in 2022, for a decrease in cash used in financing activities of approximately $14 million. Total payments with respect to acquisition-related contingent consideration, including payments in excess of acquisition-date liabilities, which are classified within operating activities, totaled $39 million for the nine month period ended September 30, 2023 as compared with $38 million for the same period in 2022. Additional Payments for acquisition-related contingent assets related to the acquisition of HMG totaled approximately $18 million for the nine month period ended September 30, 2022, whereas for the same period in 2023, we made no payments. In addition, payments for other financing activities, net, which includes amounts paid for other borrowings and transaction-related financing activities, totaled $5 million for the nine month period ended September 30, 2023 as compared with $18 million for the same period in 2022, for a decrease in cash used in financing activities of $13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Times New Roman;sans-serif" w:hAnsi="Times New Roman;sans-serif"/>
          <w:b/>
          <w:i/>
          <w:color w:val="000000"/>
          <w:sz w:val="18"/>
        </w:rPr>
      </w:pPr>
      <w:r>
        <w:rPr>
          <w:rFonts w:ascii="Times New Roman;sans-serif" w:hAnsi="Times New Roman;sans-serif"/>
          <w:b/>
          <w:i/>
          <w:color w:val="000000"/>
          <w:sz w:val="18"/>
        </w:rPr>
        <w:t>Senior Credit Facility</w:t>
      </w:r>
    </w:p>
    <w:p>
      <w:pPr>
        <w:pStyle w:val="TextBody"/>
        <w:bidi w:val="0"/>
        <w:spacing w:lineRule="auto" w:line="288" w:before="120" w:after="283"/>
        <w:ind w:left="0" w:right="0" w:firstLine="720"/>
        <w:jc w:val="both"/>
        <w:rPr/>
      </w:pPr>
      <w:r>
        <w:rPr>
          <w:rFonts w:ascii="Times New Roman;sans-serif" w:hAnsi="Times New Roman;sans-serif"/>
          <w:b w:val="false"/>
          <w:color w:val="000000"/>
          <w:sz w:val="18"/>
        </w:rPr>
        <w:t xml:space="preserve">We have a senior unsecured credit facility (the “Credit Facility”) that matures on November 1, 2026 and has </w:t>
      </w:r>
      <w:r>
        <w:rPr>
          <w:rFonts w:ascii="Times New Roman;sans-serif" w:hAnsi="Times New Roman;sans-serif"/>
          <w:b w:val="false"/>
          <w:color w:val="000000"/>
          <w:sz w:val="18"/>
          <w:shd w:fill="FFFFFF" w:val="clear"/>
        </w:rPr>
        <w:t xml:space="preserve">aggregate borrowing commitments totaling $2.25 billion, which amount is composed of $1.9 billion of revolving commitments and a Term Loan totaling $350 million in original principal amount. </w:t>
      </w:r>
      <w:r>
        <w:rPr>
          <w:rFonts w:ascii="Times New Roman;sans-serif" w:hAnsi="Times New Roman;sans-serif"/>
          <w:b w:val="false"/>
          <w:color w:val="000000"/>
          <w:sz w:val="18"/>
        </w:rPr>
        <w:t xml:space="preserve">Aggregate outstanding borrowings under the Credit Facility as of September 30, 2023 totaled approximately $1.2 billion. </w:t>
      </w:r>
      <w:r>
        <w:rPr>
          <w:rFonts w:ascii="Times New Roman;sans-serif" w:hAnsi="Times New Roman;sans-serif"/>
          <w:b w:val="false"/>
          <w:color w:val="000000"/>
          <w:sz w:val="18"/>
          <w:shd w:fill="FFFFFF" w:val="clear"/>
        </w:rPr>
        <w:t xml:space="preserve">Borrowings under the Credit Facility are used for working capital requirements, capital expenditures and other corporate purposes, including potential acquisitions, </w:t>
      </w:r>
      <w:r>
        <w:rPr>
          <w:rFonts w:ascii="Times New Roman;sans-serif" w:hAnsi="Times New Roman;sans-serif"/>
          <w:b w:val="false"/>
          <w:color w:val="000000"/>
          <w:sz w:val="18"/>
        </w:rPr>
        <w:t>equity investments or other strategic arrangements, and/or the repurchase or prepayment of indebtedness, among other corporate borrowing requirements, including potential share repurchases</w:t>
      </w:r>
      <w:r>
        <w:rPr>
          <w:rFonts w:ascii="Times New Roman;sans-serif" w:hAnsi="Times New Roman;sans-serif"/>
          <w:b w:val="false"/>
          <w:color w:val="000000"/>
          <w:sz w:val="18"/>
          <w:shd w:fill="FFFFFF" w:val="clear"/>
        </w:rPr>
        <w:t>.</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are dependent upon borrowings and letters of credit under our Credit Facility to fund our operations. Should we be unable to comply with the terms and conditions of our Credit Facility, we would be required to obtain modifications to the Credit Facility or obtain an alternative source of financing to continue to operate, neither of which may be available to us on commercially reasonable terms, or at all. The Credit Facility is subject to certain provisions and covenants, as more fully described in Note 7 - Debt in the notes to the audited consolidated financial statements included in our 2022 Form 10-K.</w:t>
      </w:r>
    </w:p>
    <w:p>
      <w:pPr>
        <w:pStyle w:val="TextBody"/>
        <w:bidi w:val="0"/>
        <w:spacing w:lineRule="auto" w:line="288" w:before="120" w:after="283"/>
        <w:jc w:val="both"/>
        <w:rPr>
          <w:rFonts w:ascii="Times New Roman;sans-serif" w:hAnsi="Times New Roman;sans-serif"/>
          <w:b/>
          <w:i/>
          <w:color w:val="000000"/>
          <w:sz w:val="18"/>
        </w:rPr>
      </w:pPr>
      <w:r>
        <w:rPr>
          <w:rFonts w:ascii="Times New Roman;sans-serif" w:hAnsi="Times New Roman;sans-serif"/>
          <w:b/>
          <w:i/>
          <w:color w:val="000000"/>
          <w:sz w:val="18"/>
        </w:rPr>
        <w:t>4.50% Senior Notes</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have $600 million aggregate principal amount of 4.50% Senior Notes due August 15, 2028 (the “4.50% Senior Notes”). The 4.50% Senior Notes are subject to certain provisions and covenants, as more fully described in Note 7 - Debt in the notes to the audited consolidated financial statements included in our 2022 Form 10-K.</w:t>
      </w:r>
    </w:p>
    <w:p>
      <w:pPr>
        <w:pStyle w:val="TextBody"/>
        <w:bidi w:val="0"/>
        <w:spacing w:lineRule="auto" w:line="288" w:before="120" w:after="283"/>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 xml:space="preserve">6.625% Senior Notes </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have $300 million aggregate principal amount of 6.625% Senior Notes due August 15, 2029, which amount is composed of $225.1 million aggregate principal amount of 6.625%% IEA senior notes (the “6.625% IEA Senior Notes”) and $74.9 million aggregate principal amount of 6.625% MasTec senior notes (the “6.625% MasTec Senior Notes”). The 6.625% IEA Senior Notes are structurally subordinated to all indebtedness and other liabilities, including trade payables, of the Company’s subsidiaries and are effectively subordinated to any secured indebtedness of IEA Energy Services LLC, the issuer of the IEA 6.625% Senior Notes, to the extent of the value of the collateral securing such indebtedness. The 6.625% MasTec Senior Notes are general senior unsecured obligations of the Company, and rank equal in right of payment with all of the Company’s existing and future senior unsecured indebtedness and senior in right of payment to any of the Company’s future subordinated indebtedness. The 6.625% MasTec Senior Notes are effectively subordinated to all secured indebtedness of the Company to the extent of the value of the assets securing such indebtedness, and are structurally subordinated to all obligations of the subsidiaries of the Company, including trade payables and the 6.625% IEA Senior Notes. The 6.625% Senior Notes are subject to certain provisions and covenants, as more fully described in Note 7 - Debt in the notes to the audited consolidated financial statements included in our 2022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3"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42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ind w:left="0" w:right="0" w:hanging="360"/>
        <w:jc w:val="both"/>
        <w:rPr>
          <w:rFonts w:ascii="Times New Roman;sans-serif" w:hAnsi="Times New Roman;sans-serif"/>
          <w:b/>
          <w:i/>
          <w:color w:val="000000"/>
          <w:sz w:val="18"/>
        </w:rPr>
      </w:pPr>
      <w:r>
        <w:rPr>
          <w:rFonts w:ascii="Times New Roman;sans-serif" w:hAnsi="Times New Roman;sans-serif"/>
          <w:b/>
          <w:i/>
          <w:color w:val="000000"/>
          <w:sz w:val="18"/>
        </w:rPr>
        <w:t>2022 Term Loan Facility     </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We have $700.0 million of unsecured term loans that were entered into in connection with the IEA acquisition, composed of $400.0 million in principal amount of three-year loans maturing on October 7, 2025, and $300.0 million in principal amount of five-year loans maturing on October 7, 2027 (together, the “2022 Term Loan Facility”). The obligations under the 2022 Term Loan Facility are unsecured and are not guaranteed by any of the Company or its subsidiaries. The 2022 Term Loan Facility is subject to certain provisions and covenants, as more fully described in Note 7 - Debt in the notes to the audited consolidated financial statements included in our 2022 Form 10-K. </w:t>
      </w:r>
    </w:p>
    <w:p>
      <w:pPr>
        <w:pStyle w:val="TextBody"/>
        <w:bidi w:val="0"/>
        <w:spacing w:lineRule="auto" w:line="288" w:before="120" w:after="283"/>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Debt Covenants</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were in compliance with the provisions and covenants contained in our outstanding debt instruments as of September 30, 2023.</w:t>
      </w:r>
    </w:p>
    <w:p>
      <w:pPr>
        <w:pStyle w:val="TextBody"/>
        <w:bidi w:val="0"/>
        <w:spacing w:lineRule="auto" w:line="288" w:before="120" w:after="120"/>
        <w:ind w:left="0" w:right="0" w:firstLine="360"/>
        <w:jc w:val="both"/>
        <w:rPr>
          <w:rFonts w:ascii="Times New Roman;sans-serif" w:hAnsi="Times New Roman;sans-serif"/>
          <w:b/>
          <w:i/>
          <w:color w:val="000000"/>
          <w:sz w:val="18"/>
        </w:rPr>
      </w:pPr>
      <w:r>
        <w:rPr>
          <w:rFonts w:ascii="Times New Roman;sans-serif" w:hAnsi="Times New Roman;sans-serif"/>
          <w:b/>
          <w:i/>
          <w:color w:val="000000"/>
          <w:sz w:val="18"/>
        </w:rPr>
        <w:t>Additional Information</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For detailed discussion and additional information pertaining to our debt instruments, see Note 7 - Debt in the notes to the audited consolidated financial statements included in our 2022 Form 10-K. Also, see Note 7 - Debt in the notes to the consolidated financial statements in this Form 10-Q, which is incorporated by reference, for current period balances and discussion.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18"/>
        </w:rPr>
      </w:pPr>
      <w:r>
        <w:rPr>
          <w:rFonts w:ascii="Times New Roman;sans-serif" w:hAnsi="Times New Roman;sans-serif"/>
          <w:b/>
          <w:color w:val="000000"/>
          <w:sz w:val="18"/>
        </w:rPr>
        <w:t>Off-Balance Sheet Arrangements</w:t>
      </w:r>
    </w:p>
    <w:p>
      <w:pPr>
        <w:pStyle w:val="TextBody"/>
        <w:bidi w:val="0"/>
        <w:spacing w:lineRule="auto" w:line="288" w:before="120" w:after="283"/>
        <w:ind w:left="0" w:right="0" w:firstLine="720"/>
        <w:jc w:val="both"/>
        <w:rPr/>
      </w:pPr>
      <w:r>
        <w:rPr>
          <w:rFonts w:ascii="Times New Roman;sans-serif" w:hAnsi="Times New Roman;sans-serif"/>
          <w:b w:val="false"/>
          <w:color w:val="000000"/>
          <w:sz w:val="18"/>
        </w:rPr>
        <w:t xml:space="preserve">As is common in our industry, we have entered into certain off-balance sheet arrangements in the ordinary course of business. Our significant off-balance sheet transactions include liabilities associated with non-cancelable operating leases </w:t>
      </w:r>
      <w:r>
        <w:rPr>
          <w:rFonts w:ascii="Times New Roman;sans-serif" w:hAnsi="Times New Roman;sans-serif"/>
          <w:b w:val="false"/>
          <w:color w:val="252525"/>
          <w:sz w:val="18"/>
        </w:rPr>
        <w:t>with durations of less than twelve months</w:t>
      </w:r>
      <w:r>
        <w:rPr>
          <w:rFonts w:ascii="Times New Roman;sans-serif" w:hAnsi="Times New Roman;sans-serif"/>
          <w:b w:val="false"/>
          <w:color w:val="000000"/>
          <w:sz w:val="18"/>
        </w:rPr>
        <w:t>, letter of credit obligations, surety and performance and payment bonds entered into in the normal course of business, self-insurance liabilities, liabilities associated with multiemployer pension plans, liabilities associated with potential funding obligations and indemnification and/or guarantee arrangements relating to our equity and other investment arrangements, including our variable interest entities. These off-balance sheet arrangements have not had, and are not reasonably likely to have, a material impact on our financial condition, revenues or expenses, results of operations, liquidity, cash requirements or capital resources in the next twelve months or in the foreseeable future. Refer to Note 14 - Commitments and Contingencies, Note 4 - Fair Value of Financial Instruments and Note 15 - Related Party Transactions in the notes to the consolidated financial statements, which are incorporated by reference.</w:t>
      </w:r>
    </w:p>
    <w:p>
      <w:pPr>
        <w:pStyle w:val="TextBody"/>
        <w:bidi w:val="0"/>
        <w:spacing w:lineRule="auto" w:line="288" w:before="120" w:after="283"/>
        <w:jc w:val="both"/>
        <w:rPr>
          <w:rFonts w:ascii="Times New Roman;sans-serif" w:hAnsi="Times New Roman;sans-serif"/>
          <w:b/>
          <w:color w:val="000000"/>
          <w:sz w:val="18"/>
        </w:rPr>
      </w:pPr>
      <w:r>
        <w:rPr>
          <w:rFonts w:ascii="Times New Roman;sans-serif" w:hAnsi="Times New Roman;sans-serif"/>
          <w:b/>
          <w:color w:val="000000"/>
          <w:sz w:val="18"/>
        </w:rPr>
        <w:t>Impact of Inflation</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Over the past year, inflation, supply chain and labor constraints have had a significant impact on the global economy, including on the construction industry in the United States. We expect elevated market interest rates and continuing, but moderating levels of cost inflation for the remainder of 2023 and for the foreseeable future. The primary inflationary factors directly affecting our operations are labor, fuel and material costs. The current elevated levels of inflation have caused an increase in consumer prices and regulatory actions to increase interest rates, while the labor market remains at historically low levels of unemployment, creating further pressure on the supply of skilled labor. In times of low unemployment and/or high inflation, our labor costs may increase due to shortages in the supply of skilled labor and increases in compensation rates generally. Although most project materials are provided by our customers, increases in the cost of materials could negatively affect the economic viability of our customers’ projects, and accordingly, demand for our services. Material and commodity prices are subject to unexpected fluctuations due to events outside of our control, including fluctuations in global supply and demand, climate-related effects and geopolitical events, such as military conflicts, which events, including the political unrest and military conflicts in the Middle East and Ukraine, have caused recent market volatility and could create heightened global market volatility in the future. </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recent elevation in levels of labor, fuel and materials costs, to the extent we have been unable to pass such increases along to our customers, has negatively affected our project margins, and could continue to affect our profitability in the future. Market volatility and/or uncertainty can also affect our customers’ investment decisions and subject us to project cancellations, deferrals or unexpected changes in the timing of project work. Market prices for goods can also be affected by supply chain disruptions. Additionally, as discussed within “Interest Rate Risk” below, the current inflationary environment has resulted in an increase in market interest rates, which has increased the rates of interest on our variable rate debt, which rates may continue to increase depending on further monetary and fiscal actions taken to reduce inflation.</w:t>
      </w:r>
    </w:p>
    <w:p>
      <w:pPr>
        <w:pStyle w:val="TextBody"/>
        <w:bidi w:val="0"/>
        <w:spacing w:lineRule="auto" w:line="288" w:before="120" w:after="24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closely monitor inflationary factors, including current rates of inflation, and any potential effects they may have on our business operations, operating results and/or financial condition. While the impact of these factors cannot be fully eliminated, we proactively work to mitigate their effects; however, inflationary pressures and interest rate increases could adversely affect our business operations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ITEM 3.    QUANTITATIVE AND QUALITATIVE DISCLOSURES ABOUT MARKET RISK</w:t>
      </w:r>
    </w:p>
    <w:p>
      <w:pPr>
        <w:pStyle w:val="TextBody"/>
        <w:bidi w:val="0"/>
        <w:spacing w:lineRule="auto" w:line="288" w:before="120" w:after="283"/>
        <w:jc w:val="both"/>
        <w:rPr>
          <w:rFonts w:ascii="Times New Roman;sans-serif" w:hAnsi="Times New Roman;sans-serif"/>
          <w:b/>
          <w:color w:val="000000"/>
          <w:sz w:val="18"/>
        </w:rPr>
      </w:pPr>
      <w:r>
        <w:rPr>
          <w:rFonts w:ascii="Times New Roman;sans-serif" w:hAnsi="Times New Roman;sans-serif"/>
          <w:b/>
          <w:color w:val="000000"/>
          <w:sz w:val="18"/>
        </w:rPr>
        <w:t>Interest Rate Risk</w:t>
      </w:r>
    </w:p>
    <w:p>
      <w:pPr>
        <w:pStyle w:val="TextBody"/>
        <w:bidi w:val="0"/>
        <w:spacing w:lineRule="auto" w:line="288" w:before="120" w:after="283"/>
        <w:ind w:left="0" w:right="0" w:firstLine="720"/>
        <w:jc w:val="both"/>
        <w:rPr/>
      </w:pPr>
      <w:r>
        <w:rPr>
          <w:rFonts w:ascii="Times New Roman;sans-serif" w:hAnsi="Times New Roman;sans-serif"/>
          <w:b w:val="false"/>
          <w:color w:val="000000"/>
          <w:sz w:val="18"/>
        </w:rPr>
        <w:t>As of September 30, 2023, our variable interest rate debt was primarily related to our Credit Facility and our term loans. Outstanding borrowings und</w:t>
      </w:r>
      <w:r>
        <w:rPr>
          <w:rFonts w:ascii="Times New Roman;sans-serif" w:hAnsi="Times New Roman;sans-serif"/>
          <w:b w:val="false"/>
          <w:color w:val="000000"/>
          <w:sz w:val="18"/>
          <w:shd w:fill="FFFFFF" w:val="clear"/>
        </w:rPr>
        <w:t>er our Credit Facility bear interest, at the Company’s option, at a rate equal to either (a) Term Secured Overnight Financing Rate (“SOFR”), as defined in the Credit Facility, plus a margin of 1.125% to 1.625%, or (b) a Base Rate, as defined in the Credit Facility, plus a margin of 0.125% to 0.625%.</w:t>
      </w:r>
      <w:r>
        <w:rPr>
          <w:color w:val="000000"/>
        </w:rPr>
        <w:t xml:space="preserve"> </w:t>
      </w:r>
      <w:r>
        <w:rPr>
          <w:rFonts w:ascii="Times New Roman;sans-serif" w:hAnsi="Times New Roman;sans-serif"/>
          <w:b w:val="false"/>
          <w:color w:val="000000"/>
          <w:sz w:val="18"/>
        </w:rPr>
        <w:t>As of September 30, 2023, we had approximately $890 million aggregate principal amount of outstanding revolving loans under our Credit Facility with a weighted average interest rate of 7.05% and a Term Loan with a balance of $343 million and an interest rate of 7.04%. The current year interest rates for outstanding revolving loans under our Credit Facility and Term Loan reflect basis point increases of approximately 280 and 250, respectively, over the comparable period in 2022.</w:t>
      </w:r>
    </w:p>
    <w:p>
      <w:pPr>
        <w:pStyle w:val="TextBody"/>
        <w:bidi w:val="0"/>
        <w:spacing w:lineRule="auto" w:line="288" w:before="120" w:after="283"/>
        <w:ind w:left="0" w:right="0" w:firstLine="720"/>
        <w:jc w:val="both"/>
        <w:rPr/>
      </w:pPr>
      <w:r>
        <w:rPr>
          <w:rFonts w:ascii="Times New Roman;sans-serif" w:hAnsi="Times New Roman;sans-serif"/>
          <w:b w:val="false"/>
          <w:color w:val="000000"/>
          <w:sz w:val="18"/>
        </w:rPr>
        <w:t>Outstanding loans under the $400 million Three-Year Tranche of our 2022 Term Loan Facility bear interest, at the</w:t>
      </w:r>
      <w:r>
        <w:rPr>
          <w:color w:val="000000"/>
          <w:shd w:fill="FFFFFF" w:val="clear"/>
        </w:rPr>
        <w:t xml:space="preserve"> </w:t>
      </w:r>
      <w:r>
        <w:rPr>
          <w:rFonts w:ascii="Times New Roman;sans-serif" w:hAnsi="Times New Roman;sans-serif"/>
          <w:b w:val="false"/>
          <w:color w:val="000000"/>
          <w:sz w:val="18"/>
          <w:shd w:fill="FFFFFF" w:val="clear"/>
        </w:rPr>
        <w:t>Company’s option, at a rate equal to either (a) SOFR, as defined in the 2022 Term Loan Facility, plus a margin of 1.125% to 1.500%, or (b) a Base Rate, as defined in the 2022 Term Loan Facility</w:t>
      </w:r>
      <w:r>
        <w:rPr>
          <w:rFonts w:ascii="Times New Roman;sans-serif" w:hAnsi="Times New Roman;sans-serif"/>
          <w:b w:val="false"/>
          <w:color w:val="000000"/>
          <w:sz w:val="18"/>
        </w:rPr>
        <w:t xml:space="preserve">, plus a margin of 0.125% to 0.500%. Outstanding loans under the $300 million Five-Year Tranche of our 2022 Term Loan Facility bear interest, at the Company’s option, at a rate equal to either (a) Term SOFR plus a margin of 1.250% to 1.625%, or (b) a Base Rate, plus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4"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43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margin of 0.250% to 0.625%. As of September 30, 2023, the Three-Year Tranche and Five-Year Tranche term loans accrued interest at weighted average rates of 6.809% and 6.934%, respectively.</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Our interest expense is affected by the overall interest rate environment. Our variable rate interest debt subjects us to risk from increases in prevailing interest rates. This risk has increased in the current market environment, in which the Federal Reserve has increased interest rates, resulting in an increase in our variable interest rates and related interest expense. We manage interest rate risk by maintaining a mix of fixed and variable rate debt obligations. An additional 100 basis point increase in the applicable interest rates under our Credit Facility and term loans would have increased our interest expense by approximately $16 million for the nine month period ended September 30, 2023.</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of September 30, 2023, our fixed interest rate debt primarily included $600 million aggregate principal amount of 4.50% Senior Notes, $300 million aggregate principal amount of 6.625% Senior Notes and $366 million of finance lease obligations, which accrued interest at a weighted average interest rate of approximately 4.5%. None of this debt subjects us to interest rate risk, but we may be subject to changes in interest rates if and when we refinance this debt at maturity or otherwise.</w:t>
      </w:r>
    </w:p>
    <w:p>
      <w:pPr>
        <w:pStyle w:val="TextBody"/>
        <w:bidi w:val="0"/>
        <w:spacing w:lineRule="auto" w:line="288" w:before="120" w:after="283"/>
        <w:jc w:val="both"/>
        <w:rPr>
          <w:rFonts w:ascii="Times New Roman;sans-serif" w:hAnsi="Times New Roman;sans-serif"/>
          <w:b/>
          <w:color w:val="000000"/>
          <w:sz w:val="18"/>
        </w:rPr>
      </w:pPr>
      <w:r>
        <w:rPr>
          <w:rFonts w:ascii="Times New Roman;sans-serif" w:hAnsi="Times New Roman;sans-serif"/>
          <w:b/>
          <w:color w:val="000000"/>
          <w:sz w:val="18"/>
        </w:rPr>
        <w:t>Foreign Currency Risk</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Certain of our consolidated revenue and operating expenses are in foreign currencies. Our foreign operations are primarily in Canada. Revenue generated from foreign operations represented 1% of our total revenue for the nine month period ended September 30, 2023. Revenue and expense related to our foreign operations are, for the most part, denominated in the functional currency of the foreign operation, which minimizes the impact that fluctuations in exchange rates would have on net income or loss. We are, however, subject to fluctuations in foreign currency exchange rates when transactions are denominated in currencies other than the functional currencies and for our foreign operations with a functional currency other than the local currency. Such activity was not material to our operations for the nine month period ended September 30, 2023. Translation gains or losses, which are recorded in other comprehensive income or loss, result from translation of the assets and liabilities of our foreign subsidiaries into U.S. dollars. For the nine month period ended September 30, 2023, foreign currency translation gains, net, totaled approximately $1 million and related to our operations in Canada and Mexico.</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Our exposure to fluctuations in foreign currency exchange rates could increase in the future if we continue to expand our operations outside of the United States. We seek to manage foreign currency exposure by minimizing our consolidated net asset and liability positions in currencies other than the functional currency, which exposure was not significant to our consolidated financial position as of September 30, 2023. We may enter into foreign currency derivative contracts in the future to manage such exposure.</w:t>
      </w:r>
    </w:p>
    <w:p>
      <w:pPr>
        <w:pStyle w:val="TextBody"/>
        <w:bidi w:val="0"/>
        <w:spacing w:lineRule="auto" w:line="288" w:before="120" w:after="283"/>
        <w:jc w:val="both"/>
        <w:rPr>
          <w:rFonts w:ascii="Times New Roman;sans-serif" w:hAnsi="Times New Roman;sans-serif"/>
          <w:b/>
          <w:color w:val="000000"/>
          <w:sz w:val="18"/>
        </w:rPr>
      </w:pPr>
      <w:r>
        <w:rPr>
          <w:rFonts w:ascii="Times New Roman;sans-serif" w:hAnsi="Times New Roman;sans-serif"/>
          <w:b/>
          <w:color w:val="000000"/>
          <w:sz w:val="18"/>
        </w:rPr>
        <w:t>Other Market Risk</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discussed in Note 4 - Fair Value of Financial Instruments in the notes to the consolidated financial statements, which is incorporated by reference, we have certain investments that may be subject to market risk and could be subject to volatility based on market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440"/>
        <w:jc w:val="both"/>
        <w:rPr>
          <w:rFonts w:ascii="Times New Roman;sans-serif" w:hAnsi="Times New Roman;sans-serif"/>
          <w:b/>
          <w:color w:val="000000"/>
          <w:sz w:val="18"/>
        </w:rPr>
      </w:pPr>
      <w:r>
        <w:rPr>
          <w:rFonts w:ascii="Times New Roman;sans-serif" w:hAnsi="Times New Roman;sans-serif"/>
          <w:b/>
          <w:color w:val="000000"/>
          <w:sz w:val="18"/>
        </w:rPr>
        <w:t>ITEM 4.         CONTROLS AND PROCEDURES</w:t>
      </w:r>
    </w:p>
    <w:p>
      <w:pPr>
        <w:pStyle w:val="TextBody"/>
        <w:bidi w:val="0"/>
        <w:spacing w:lineRule="auto" w:line="288" w:before="0" w:after="120"/>
        <w:ind w:left="0" w:right="0" w:firstLine="720"/>
        <w:jc w:val="both"/>
        <w:rPr/>
      </w:pPr>
      <w:r>
        <w:rPr>
          <w:rFonts w:ascii="Times New Roman;sans-serif" w:hAnsi="Times New Roman;sans-serif"/>
          <w:b/>
          <w:i/>
          <w:color w:val="000000"/>
          <w:sz w:val="18"/>
        </w:rPr>
        <w:t xml:space="preserve">Evaluation of Disclosure Controls and Procedures. </w:t>
      </w:r>
      <w:r>
        <w:rPr>
          <w:rFonts w:ascii="Times New Roman;sans-serif" w:hAnsi="Times New Roman;sans-serif"/>
          <w:b w:val="false"/>
          <w:color w:val="000000"/>
          <w:sz w:val="18"/>
        </w:rPr>
        <w:t>As of the end of the period covered by this Quarterly Report on Form 10-Q, our management, with the participation of our Chief Executive Officer and Chief Financial Officer, evaluated the effectiveness of the design and operation of our disclosure controls and procedures (as defined in Rule 13a-15(e) under the Securities Exchange Act of 1934, as amended (the “Exchange Act”)). We maintain disclosure controls and procedures designed to ensure that information required to be disclosed in reports filed or submitted by us under the Exchange Act is recorded, processed, summarized and reported within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Chief Executive Officer and Chief Financial Officer, or persons performing similar functions, as appropriate, to allow timely decisions regarding required disclosure. In conducting the evaluation of disclosure controls and procedures and internal control over financial reporting as of December 31, 2022, as described in the 2022 Form 10-K, we identified the following material weaknesses in our internal control over financial reporting:</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18"/>
        </w:rPr>
        <w:t>Design and operating effectiveness of controls over the order to cash cycle predominantly related to the assessment of certain 2021 acquired entities that underwent initial controls evaluation in 2022 (the “2021 Acquired Entities”).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18"/>
        </w:rPr>
        <w:t>Operating effectiveness of controls related to the initial purchase price allocation of the 2022 IEA acquisition.</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18"/>
        </w:rPr>
        <w:t>Design of the precision level for a variance analysis management review control within the period end reporting cycle.</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addition, for certain 2021 Acquired Entities, we identified control deficiencies that, when aggregated, constitute material weaknesses as follows: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18"/>
        </w:rPr>
        <w:t>Design and operating effectiveness of information technology general computer controls (“ITGCs”) in the areas of user access and program change-management for certain information technology systems (the “affected IT systems”) that are critical to capturing, processing, and reporting financial transactions. These ineffective information technology controls contributed to (i) improper segregation of duties among certain business process controls and (ii) ineffective data validation of spreadsheets and system-generated reports.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18"/>
        </w:rPr>
        <w:t>Design and operating effectiveness of business process controls in each of the following business cycles: procure to pay, asset management, hire to pay, and period-end reporting.</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a result, our Chief Executive Officer and Chief Financial Officer concluded that our disclosure controls and procedures were not effective at the reasonable assurance level as of September 30, 2023.</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5"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44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Notwithstanding the material weaknesses in our internal control over financial reporting, the consolidated financial statements included in this Quarterly Report on Form 10-Q fairly present, in all material respects, our financial position, results of operations, and cash flows for the periods presented in conformity with accounting principles generally accepted in the United States of America. In addition, the material weaknesses did not result in any restatements of the Company’s audited or unaudited consolidated financial statements and disclosures for any prior period previously reported by the Company.</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To the extent permitted under SEC guidance, the disclosure controls and procedures of two businesses acquired in 2023, were excluded from the evaluation of effectiveness of the Company’s disclosure controls and procedures as of September 30, 2023 due to the timing of the acquisitions. These acquisitions’ total assets constituted approximately 2% of the Company’s total assets as of September 30, 2023, and represented approximately 1% of the Company’s revenue for the nine month period then ended.</w:t>
      </w:r>
    </w:p>
    <w:p>
      <w:pPr>
        <w:pStyle w:val="TextBody"/>
        <w:bidi w:val="0"/>
        <w:spacing w:lineRule="auto" w:line="288" w:before="0" w:after="120"/>
        <w:ind w:left="0" w:right="0" w:firstLine="720"/>
        <w:jc w:val="both"/>
        <w:rPr/>
      </w:pPr>
      <w:r>
        <w:rPr>
          <w:rFonts w:ascii="Times New Roman;sans-serif" w:hAnsi="Times New Roman;sans-serif"/>
          <w:b/>
          <w:i/>
          <w:color w:val="000000"/>
          <w:sz w:val="18"/>
        </w:rPr>
        <w:t xml:space="preserve">Remediation Efforts to Address Material Weaknesses. </w:t>
      </w:r>
      <w:r>
        <w:rPr>
          <w:rFonts w:ascii="Times New Roman;sans-serif" w:hAnsi="Times New Roman;sans-serif"/>
          <w:b w:val="false"/>
          <w:color w:val="000000"/>
          <w:sz w:val="18"/>
        </w:rPr>
        <w:t xml:space="preserve">Management is committed to maintaining a strong control environment. Management, with the oversight of the Audit Committee of the Board of Directors, has implemented and continues to implement measures designed to ensure that control deficiencies contributing to the material weaknesses are remediated, such that these controls are designed, implemented, and operating effectively. These remediation actions are ongoing and include the following actions, predominately at the 2021 Acquired Entities: (i) expanding functions of IT compliance from the existing, effective ITGC environment at the enterprise level to the 2021 Acquired Entities; (ii) implementing a newly developed training program to address ITGCs and IT policies with appropriate IT personnel; (iii) implementing procedures to ensure enforcement of proper segregation of duties; (iv) enhancing IT management review and testing plans to monitor ITGCs and (v) enhancing and/or refining the design, implementation and documentary evidence requirements of control procedures over the order to cash, procure to pay, asset management, hire to pay, initial acquisition purchase price allocation and period-end reporting processes for appropriate personnel. Although we believe that these actions will remediate the material weaknesses, the weaknesses will not be considered remediated until the applicable controls operate for a sufficient period of time and management has concluded, through testing, that these controls are operating effectively. </w:t>
      </w:r>
    </w:p>
    <w:p>
      <w:pPr>
        <w:pStyle w:val="TextBody"/>
        <w:bidi w:val="0"/>
        <w:spacing w:lineRule="auto" w:line="288" w:before="0" w:after="120"/>
        <w:ind w:left="0" w:right="0" w:firstLine="720"/>
        <w:jc w:val="both"/>
        <w:rPr/>
      </w:pPr>
      <w:r>
        <w:rPr>
          <w:rFonts w:ascii="Times New Roman;sans-serif" w:hAnsi="Times New Roman;sans-serif"/>
          <w:b/>
          <w:i/>
          <w:color w:val="000000"/>
          <w:sz w:val="18"/>
        </w:rPr>
        <w:t>Changes in Internal Control Over Financial Reporting</w:t>
      </w:r>
      <w:r>
        <w:rPr>
          <w:rFonts w:ascii="Times New Roman;sans-serif" w:hAnsi="Times New Roman;sans-serif"/>
          <w:b/>
          <w:color w:val="000000"/>
          <w:sz w:val="18"/>
        </w:rPr>
        <w:t xml:space="preserve">. </w:t>
      </w:r>
      <w:r>
        <w:rPr>
          <w:rFonts w:ascii="Times New Roman;sans-serif" w:hAnsi="Times New Roman;sans-serif"/>
          <w:b w:val="false"/>
          <w:color w:val="000000"/>
          <w:sz w:val="18"/>
        </w:rPr>
        <w:t>Other than the ongoing remediation efforts related to the material weaknesses described above, there have been no changes in the Company’s internal control over financial reporting during the quarter ended September 30, 2023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6"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45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jc w:val="left"/>
        <w:rPr>
          <w:rFonts w:ascii="Times New Roman;sans-serif" w:hAnsi="Times New Roman;sans-serif"/>
          <w:b/>
          <w:color w:val="000000"/>
          <w:sz w:val="18"/>
        </w:rPr>
      </w:pPr>
      <w:r>
        <w:rPr>
          <w:rFonts w:ascii="Times New Roman;sans-serif" w:hAnsi="Times New Roman;sans-serif"/>
          <w:b/>
          <w:color w:val="000000"/>
          <w:sz w:val="18"/>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440"/>
        <w:jc w:val="both"/>
        <w:rPr>
          <w:rFonts w:ascii="Times New Roman;sans-serif" w:hAnsi="Times New Roman;sans-serif"/>
          <w:b/>
          <w:color w:val="000000"/>
          <w:sz w:val="18"/>
        </w:rPr>
      </w:pPr>
      <w:r>
        <w:rPr>
          <w:rFonts w:ascii="Times New Roman;sans-serif" w:hAnsi="Times New Roman;sans-serif"/>
          <w:b/>
          <w:color w:val="000000"/>
          <w:sz w:val="18"/>
        </w:rPr>
        <w:t>ITEM 1.    LEGAL PROCEEDINGS</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Refer to Note 14 - Commitments and Contingencies in the notes to our consolidated financial statements included in this Quarterly Report on Form 10-Q, which is incorporated by reference in this Item 1, for a discussion of any recent material developments related to our legal proceedings since the filing of our 2022 Form 10-K.</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MasTec has elected to use a $1 million threshold for disclosing proceedings arising under federal, state or local environmental laws, which proceedings involve potential monetary sanctions, and in which a governmental authority is a party. MasTec believes proceedings under this threshold are not material to its business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ITEM 1A.    RISK FACTORS</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Subject to the potential effects of general economic and market conditions, including levels of inflation, interest rates and other market and geopolitical conditions, including political unrest and military conflicts, on certain of the risks we normally face in operating our business, including those disclosed in our 2022 Form 10-K, there have been no material changes to either the cautionary statement regarding forward-looking statements or to any of the risk factors disclosed in our 2022 Form 10-K, as updated by our Quarterly Reports on Form 10-Q and other filings we make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18"/>
        </w:rPr>
      </w:pPr>
      <w:r>
        <w:rPr>
          <w:rFonts w:ascii="Times New Roman;sans-serif" w:hAnsi="Times New Roman;sans-serif"/>
          <w:b/>
          <w:color w:val="000000"/>
          <w:sz w:val="18"/>
        </w:rPr>
        <w:t>ITEM 2.    UNREGISTERED SALES OF EQUITY SECURITIES AND USE OF PROCEEDS</w:t>
      </w:r>
    </w:p>
    <w:p>
      <w:pPr>
        <w:pStyle w:val="TextBody"/>
        <w:bidi w:val="0"/>
        <w:spacing w:lineRule="auto" w:line="288" w:before="120" w:after="283"/>
        <w:ind w:left="0" w:right="0" w:firstLine="450"/>
        <w:jc w:val="left"/>
        <w:rPr>
          <w:rFonts w:ascii="Times New Roman;sans-serif" w:hAnsi="Times New Roman;sans-serif"/>
          <w:b/>
          <w:i/>
          <w:color w:val="000000"/>
          <w:sz w:val="18"/>
        </w:rPr>
      </w:pPr>
      <w:r>
        <w:rPr>
          <w:rFonts w:ascii="Times New Roman;sans-serif" w:hAnsi="Times New Roman;sans-serif"/>
          <w:b/>
          <w:i/>
          <w:color w:val="000000"/>
          <w:sz w:val="18"/>
        </w:rPr>
        <w:t>Issuer Purchases of Equity Securities</w:t>
      </w:r>
    </w:p>
    <w:p>
      <w:pPr>
        <w:pStyle w:val="TextBody"/>
        <w:bidi w:val="0"/>
        <w:spacing w:lineRule="auto" w:line="288" w:before="120" w:after="12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provides information about repurchases of our common stock during the quarter ended September 30, 2023:</w:t>
      </w:r>
    </w:p>
    <w:tbl>
      <w:tblPr>
        <w:tblW w:w="10205" w:type="dxa"/>
        <w:jc w:val="left"/>
        <w:tblInd w:w="0" w:type="dxa"/>
        <w:tblLayout w:type="fixed"/>
        <w:tblCellMar>
          <w:top w:w="28" w:type="dxa"/>
          <w:left w:w="28" w:type="dxa"/>
          <w:bottom w:w="28" w:type="dxa"/>
          <w:right w:w="28" w:type="dxa"/>
        </w:tblCellMar>
      </w:tblPr>
      <w:tblGrid>
        <w:gridCol w:w="562"/>
        <w:gridCol w:w="365"/>
        <w:gridCol w:w="369"/>
        <w:gridCol w:w="109"/>
        <w:gridCol w:w="109"/>
        <w:gridCol w:w="109"/>
        <w:gridCol w:w="502"/>
        <w:gridCol w:w="475"/>
        <w:gridCol w:w="476"/>
        <w:gridCol w:w="109"/>
        <w:gridCol w:w="109"/>
        <w:gridCol w:w="109"/>
        <w:gridCol w:w="265"/>
        <w:gridCol w:w="875"/>
        <w:gridCol w:w="147"/>
        <w:gridCol w:w="109"/>
        <w:gridCol w:w="109"/>
        <w:gridCol w:w="109"/>
        <w:gridCol w:w="734"/>
        <w:gridCol w:w="734"/>
        <w:gridCol w:w="736"/>
        <w:gridCol w:w="109"/>
        <w:gridCol w:w="109"/>
        <w:gridCol w:w="109"/>
        <w:gridCol w:w="396"/>
        <w:gridCol w:w="1943"/>
        <w:gridCol w:w="318"/>
      </w:tblGrid>
      <w:tr>
        <w:trPr/>
        <w:tc>
          <w:tcPr>
            <w:tcW w:w="56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296"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Total Number of Shares Purchased </w:t>
            </w:r>
            <w:r>
              <w:rPr>
                <w:rFonts w:ascii="Times New Roman;sans-serif" w:hAnsi="Times New Roman;sans-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Approximate Dollar Value of Shares that May Yet be Purchased under the Program </w:t>
            </w:r>
            <w:r>
              <w:rPr>
                <w:rFonts w:ascii="Times New Roman;sans-serif" w:hAnsi="Times New Roman;sans-serif"/>
                <w:b/>
                <w:color w:val="000000"/>
                <w:sz w:val="12"/>
              </w:rPr>
              <w:t>(b)</w:t>
            </w:r>
          </w:p>
        </w:tc>
      </w:tr>
      <w:tr>
        <w:trPr/>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July 1 through July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6,204 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115.57 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77,326,434 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August 1 through August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8,040 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77,326,434 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September 1 through 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8,973 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77,326,434 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23,217 </w:t>
            </w:r>
          </w:p>
        </w:tc>
        <w:tc>
          <w:tcPr>
            <w:tcW w:w="4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(a)Includes 6,204, 7,647 and 8,973 shares reacquired by the Company on the open market pursuant to the Amended ESPPs in July, August and September of 2023, respectively, and 393 shares withheld for income tax purposes in connection with shares issued under compensation and benefit programs in August of 2023.</w:t>
      </w:r>
    </w:p>
    <w:p>
      <w:pPr>
        <w:pStyle w:val="TextBody"/>
        <w:bidi w:val="0"/>
        <w:spacing w:lineRule="auto" w:line="288" w:before="6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(b)As of September 30, 2023, the remaining amount available for share repurchases under our March 2020 $150 million share repurchase program, which was publicly announced on March 19, 2020, totaled $77.3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ITEM 4.    MINE SAFETY DISCLOSURES</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information concerning mine safety violations or other regulatory matters required by Section 1503(a) of the Dodd-Frank Wall Street Reform and Consumer Protection Act and Item 104 of Regulation S-K is included in Exhibit 95.1 to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18"/>
        </w:rPr>
      </w:pPr>
      <w:r>
        <w:rPr>
          <w:rFonts w:ascii="Times New Roman;sans-serif" w:hAnsi="Times New Roman;sans-serif"/>
          <w:b/>
          <w:color w:val="000000"/>
          <w:sz w:val="18"/>
        </w:rPr>
        <w:t>ITEM 5.    OTHER INFORMATION</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During the three month period ended September 30, 2023, no director or officer (as defined in Rule 16a-1(f) of the Exchange Act) of the Company adopted, modified or terminated any contract, instruction or written plan for the purchase or sale of our securities that was intended to satisfy the affirmative defense conditions of Rule 10b5-1(c) or any “non-Rule 10b5-1 trading arrangement,”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7"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46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ITEM 6.    EXHIBITS</w:t>
      </w:r>
    </w:p>
    <w:p>
      <w:pPr>
        <w:pStyle w:val="TextBody"/>
        <w:bidi w:val="0"/>
        <w:spacing w:lineRule="auto" w:line="288" w:before="12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Exhibit Index below contains a list of exhibits filed or furnished with this Form 10-Q.</w:t>
      </w:r>
    </w:p>
    <w:tbl>
      <w:tblPr>
        <w:tblW w:w="10205" w:type="dxa"/>
        <w:jc w:val="left"/>
        <w:tblInd w:w="0" w:type="dxa"/>
        <w:tblLayout w:type="fixed"/>
        <w:tblCellMar>
          <w:top w:w="28" w:type="dxa"/>
          <w:left w:w="28" w:type="dxa"/>
          <w:bottom w:w="28" w:type="dxa"/>
          <w:right w:w="28" w:type="dxa"/>
        </w:tblCellMar>
      </w:tblPr>
      <w:tblGrid>
        <w:gridCol w:w="276"/>
        <w:gridCol w:w="243"/>
        <w:gridCol w:w="244"/>
        <w:gridCol w:w="109"/>
        <w:gridCol w:w="109"/>
        <w:gridCol w:w="109"/>
        <w:gridCol w:w="2654"/>
        <w:gridCol w:w="2654"/>
        <w:gridCol w:w="3807"/>
      </w:tblGrid>
      <w:tr>
        <w:trPr/>
        <w:tc>
          <w:tcPr>
            <w:tcW w:w="2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3807" w:type="dxa"/>
            <w:tcBorders/>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Description</w:t>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tz9302310-qex311.htm">
              <w:r>
                <w:rPr>
                  <w:rStyle w:val="InternetLink"/>
                  <w:rFonts w:ascii="Times New Roman;sans-serif" w:hAnsi="Times New Roman;sans-serif"/>
                  <w:b w:val="false"/>
                  <w:color w:val="0000FF"/>
                  <w:sz w:val="18"/>
                  <w:u w:val="single"/>
                </w:rPr>
                <w:t>Certifications required by Section 302(a) of the Sarbanes-Oxley Act of 2002.</w:t>
              </w:r>
            </w:hyperlink>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tz9302310-qex312.htm">
              <w:r>
                <w:rPr>
                  <w:rStyle w:val="InternetLink"/>
                  <w:rFonts w:ascii="Times New Roman;sans-serif" w:hAnsi="Times New Roman;sans-serif"/>
                  <w:b w:val="false"/>
                  <w:color w:val="0000FF"/>
                  <w:sz w:val="18"/>
                  <w:u w:val="single"/>
                </w:rPr>
                <w:t>Certifications required by Section 302(a) of the Sarbanes-Oxley Act of 2002.</w:t>
              </w:r>
            </w:hyperlink>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tz9302310-qex321.htm">
              <w:r>
                <w:rPr>
                  <w:rStyle w:val="InternetLink"/>
                  <w:rFonts w:ascii="Times New Roman;sans-serif" w:hAnsi="Times New Roman;sans-serif"/>
                  <w:b w:val="false"/>
                  <w:color w:val="0000FF"/>
                  <w:sz w:val="18"/>
                  <w:u w:val="single"/>
                </w:rPr>
                <w:t>Certifications required by Section 906 of the Sarbanes-Oxley Act of 2002.</w:t>
              </w:r>
            </w:hyperlink>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tz9302310-qex322.htm">
              <w:r>
                <w:rPr>
                  <w:rStyle w:val="InternetLink"/>
                  <w:rFonts w:ascii="Times New Roman;sans-serif" w:hAnsi="Times New Roman;sans-serif"/>
                  <w:b w:val="false"/>
                  <w:color w:val="0000FF"/>
                  <w:sz w:val="18"/>
                  <w:u w:val="single"/>
                </w:rPr>
                <w:t>Certifications required by Section 906 of the Sarbanes-Oxley Act of 2002.</w:t>
              </w:r>
            </w:hyperlink>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95.1*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tz9302310-qex951.htm">
              <w:r>
                <w:rPr>
                  <w:rStyle w:val="InternetLink"/>
                  <w:rFonts w:ascii="Times New Roman;sans-serif" w:hAnsi="Times New Roman;sans-serif"/>
                  <w:b w:val="false"/>
                  <w:color w:val="0000FF"/>
                  <w:sz w:val="18"/>
                  <w:u w:val="single"/>
                </w:rPr>
                <w:t>Mine Safety Disclosures.</w:t>
              </w:r>
            </w:hyperlink>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 - The instance document does not appear in the interactive data file because its XBRL tags are embedded within the Inline XBRL document.</w:t>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w:t>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w:t>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5"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w:t>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w:t>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w:t>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 cover page of MasTec, Inc.’s Quarterly Report on Form 10-Q for the quarter ended September 30, 2023, formatted in Inline XBRL (included with the Exhibit 101 attachments).</w:t>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w:t>
      </w:r>
    </w:p>
    <w:p>
      <w:pPr>
        <w:pStyle w:val="TextBody"/>
        <w:bidi w:val="0"/>
        <w:spacing w:lineRule="auto" w:line="288" w:before="60" w:after="283"/>
        <w:ind w:left="0" w:right="0" w:hanging="450"/>
        <w:jc w:val="both"/>
        <w:rPr>
          <w:rFonts w:ascii="Times New Roman;sans-serif" w:hAnsi="Times New Roman;sans-serif"/>
          <w:b w:val="false"/>
          <w:color w:val="000000"/>
          <w:sz w:val="16"/>
        </w:rPr>
      </w:pPr>
      <w:r>
        <w:rPr>
          <w:rFonts w:ascii="Times New Roman;sans-serif" w:hAnsi="Times New Roman;sans-serif"/>
          <w:b w:val="false"/>
          <w:color w:val="000000"/>
          <w:sz w:val="16"/>
        </w:rPr>
        <w:t>*    Filed herewith.</w:t>
      </w:r>
    </w:p>
    <w:p>
      <w:pPr>
        <w:pStyle w:val="TextBody"/>
        <w:bidi w:val="0"/>
        <w:spacing w:lineRule="auto" w:line="288" w:before="20" w:after="283"/>
        <w:ind w:left="0" w:right="0" w:hanging="450"/>
        <w:jc w:val="both"/>
        <w:rPr>
          <w:rFonts w:ascii="Times New Roman;sans-serif" w:hAnsi="Times New Roman;sans-serif"/>
          <w:b w:val="false"/>
          <w:color w:val="000000"/>
          <w:sz w:val="16"/>
        </w:rPr>
      </w:pPr>
      <w:r>
        <w:rPr>
          <w:rFonts w:ascii="Times New Roman;sans-serif" w:hAnsi="Times New Roman;sans-serif"/>
          <w:b w:val="false"/>
          <w:color w:val="000000"/>
          <w:sz w:val="16"/>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8"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47</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hanging="360"/>
        <w:jc w:val="center"/>
        <w:rPr/>
      </w:pPr>
      <w:r>
        <w:rPr/>
      </w:r>
    </w:p>
    <w:p>
      <w:pPr>
        <w:pStyle w:val="TextBody"/>
        <w:bidi w:val="0"/>
        <w:spacing w:lineRule="auto" w:line="288" w:before="0" w:after="0"/>
        <w:ind w:left="0" w:right="0" w:hanging="360"/>
        <w:jc w:val="center"/>
        <w:rPr>
          <w:rFonts w:ascii="Times New Roman;sans-serif" w:hAnsi="Times New Roman;sans-serif"/>
          <w:b/>
          <w:color w:val="000000"/>
          <w:sz w:val="18"/>
        </w:rPr>
      </w:pPr>
      <w:r>
        <w:rPr>
          <w:rFonts w:ascii="Times New Roman;sans-serif" w:hAnsi="Times New Roman;sans-serif"/>
          <w:b/>
          <w:color w:val="000000"/>
          <w:sz w:val="18"/>
        </w:rPr>
        <w:t>SIGNATURES</w:t>
      </w:r>
    </w:p>
    <w:p>
      <w:pPr>
        <w:pStyle w:val="TextBody"/>
        <w:bidi w:val="0"/>
        <w:spacing w:before="0" w:after="0"/>
        <w:ind w:left="0" w:right="0" w:firstLine="495"/>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4199" w:type="dxa"/>
        <w:jc w:val="left"/>
        <w:tblInd w:w="0" w:type="dxa"/>
        <w:tblLayout w:type="fixed"/>
        <w:tblCellMar>
          <w:top w:w="28" w:type="dxa"/>
          <w:left w:w="28" w:type="dxa"/>
          <w:bottom w:w="28" w:type="dxa"/>
          <w:right w:w="28" w:type="dxa"/>
        </w:tblCellMar>
      </w:tblPr>
      <w:tblGrid>
        <w:gridCol w:w="677"/>
        <w:gridCol w:w="597"/>
        <w:gridCol w:w="601"/>
        <w:gridCol w:w="679"/>
        <w:gridCol w:w="679"/>
        <w:gridCol w:w="966"/>
      </w:tblGrid>
      <w:tr>
        <w:trPr/>
        <w:tc>
          <w:tcPr>
            <w:tcW w:w="67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MASTEC, INC.</w:t>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November 2, 2023</w:t>
            </w:r>
          </w:p>
        </w:tc>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/s/  T. MICHAEL LOVE</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 Michael Love</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Chief Accounting Officer</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9"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48</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31.1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CERTIFICATIONS REQUIRED BY SECTION 302(a)</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OF SARBANES-OXLEY ACT OF 2002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 José R. Mas, certify that: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 have reviewed this quarterly report on Form 10-Q of MasTec, Inc.;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c)    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d)    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540"/>
        <w:jc w:val="both"/>
        <w:rPr/>
      </w:pPr>
      <w:r>
        <w:rPr/>
      </w:r>
    </w:p>
    <w:p>
      <w:pPr>
        <w:pStyle w:val="TextBody"/>
        <w:bidi w:val="0"/>
        <w:spacing w:lineRule="auto" w:line="288" w:before="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b)    Any fraud, whether or not material, that involves management or other employees who have a significant role in the registrant’s internal control over financial reporting.</w:t>
      </w:r>
    </w:p>
    <w:tbl>
      <w:tblPr>
        <w:tblW w:w="4064" w:type="dxa"/>
        <w:jc w:val="left"/>
        <w:tblInd w:w="0" w:type="dxa"/>
        <w:tblLayout w:type="fixed"/>
        <w:tblCellMar>
          <w:top w:w="28" w:type="dxa"/>
          <w:left w:w="28" w:type="dxa"/>
          <w:bottom w:w="28" w:type="dxa"/>
          <w:right w:w="28" w:type="dxa"/>
        </w:tblCellMar>
      </w:tblPr>
      <w:tblGrid>
        <w:gridCol w:w="677"/>
        <w:gridCol w:w="597"/>
        <w:gridCol w:w="601"/>
        <w:gridCol w:w="640"/>
        <w:gridCol w:w="640"/>
        <w:gridCol w:w="909"/>
      </w:tblGrid>
      <w:tr>
        <w:trPr/>
        <w:tc>
          <w:tcPr>
            <w:tcW w:w="67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November 2, 2023</w:t>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i/>
                <w:color w:val="000000"/>
                <w:sz w:val="18"/>
              </w:rPr>
              <w:t>/s/  JOSÉ R. MAS</w:t>
            </w:r>
            <w:r>
              <w:rPr>
                <w:color w:val="000000"/>
              </w:rPr>
              <w:t>  </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José R. Mas</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Chief Executive Officer</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31.2</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CERTIFICATIONS REQUIRED BY SECTION 302(a)</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OF SARBANES-OXLEY ACT OF 2002</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 Paul DiMarco, certify that: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 have reviewed this quarterly report on Form 10-Q of MasTec, Inc.;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c)    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d)    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540"/>
        <w:jc w:val="both"/>
        <w:rPr/>
      </w:pPr>
      <w:r>
        <w:rPr/>
      </w:r>
    </w:p>
    <w:p>
      <w:pPr>
        <w:pStyle w:val="TextBody"/>
        <w:bidi w:val="0"/>
        <w:spacing w:lineRule="auto" w:line="288" w:before="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b)    Any fraud, whether or not material, that involves management or other employees who have a significant role in the registrant’s internal control over financial reporting.</w:t>
      </w:r>
    </w:p>
    <w:tbl>
      <w:tblPr>
        <w:tblW w:w="5774" w:type="dxa"/>
        <w:jc w:val="left"/>
        <w:tblInd w:w="0" w:type="dxa"/>
        <w:tblLayout w:type="fixed"/>
        <w:tblCellMar>
          <w:top w:w="28" w:type="dxa"/>
          <w:left w:w="28" w:type="dxa"/>
          <w:bottom w:w="28" w:type="dxa"/>
          <w:right w:w="28" w:type="dxa"/>
        </w:tblCellMar>
      </w:tblPr>
      <w:tblGrid>
        <w:gridCol w:w="677"/>
        <w:gridCol w:w="597"/>
        <w:gridCol w:w="601"/>
        <w:gridCol w:w="1140"/>
        <w:gridCol w:w="1140"/>
        <w:gridCol w:w="1619"/>
      </w:tblGrid>
      <w:tr>
        <w:trPr/>
        <w:tc>
          <w:tcPr>
            <w:tcW w:w="67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November 2, 2023</w:t>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/s/  PAUL DIMARCO</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Paul DiMarco</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Executive Vice President and Chief Financial Officer</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32.1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18 U.S.C. SECTION 1350,</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 connection with the Quarterly Report of MasTec, Inc. (the “Company”) on Form 10-Q for the period ended September 30, 2023 as filed with the Securities and Exchange Commission on the date hereof (the “Report”), I, José R. Mas, Chief Executive Officer of MasTec, Inc., certify, pursuant to 18 U.S.C. Section 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    The Report fully complies with the requirements of section 13(a) or 15(d) of the Securities Exchange Act of 1934; and</w:t>
      </w:r>
    </w:p>
    <w:p>
      <w:pPr>
        <w:pStyle w:val="TextBody"/>
        <w:bidi w:val="0"/>
        <w:spacing w:before="0" w:after="0"/>
        <w:ind w:left="0" w:right="0" w:hanging="540"/>
        <w:jc w:val="both"/>
        <w:rPr/>
      </w:pPr>
      <w:r>
        <w:rPr/>
      </w:r>
    </w:p>
    <w:p>
      <w:pPr>
        <w:pStyle w:val="TextBody"/>
        <w:bidi w:val="0"/>
        <w:spacing w:lineRule="auto" w:line="288" w:before="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(2)    The information contained in the Report fairly presents, in all material respects, the financial condition and results of operations of the Company.</w:t>
      </w:r>
    </w:p>
    <w:tbl>
      <w:tblPr>
        <w:tblW w:w="4064" w:type="dxa"/>
        <w:jc w:val="left"/>
        <w:tblInd w:w="0" w:type="dxa"/>
        <w:tblLayout w:type="fixed"/>
        <w:tblCellMar>
          <w:top w:w="28" w:type="dxa"/>
          <w:left w:w="28" w:type="dxa"/>
          <w:bottom w:w="28" w:type="dxa"/>
          <w:right w:w="28" w:type="dxa"/>
        </w:tblCellMar>
      </w:tblPr>
      <w:tblGrid>
        <w:gridCol w:w="677"/>
        <w:gridCol w:w="597"/>
        <w:gridCol w:w="601"/>
        <w:gridCol w:w="640"/>
        <w:gridCol w:w="640"/>
        <w:gridCol w:w="909"/>
      </w:tblGrid>
      <w:tr>
        <w:trPr/>
        <w:tc>
          <w:tcPr>
            <w:tcW w:w="67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November 2, 2023</w:t>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i/>
                <w:color w:val="000000"/>
                <w:sz w:val="18"/>
              </w:rPr>
              <w:t>/s/  JOSÉ R. MAS</w:t>
            </w:r>
            <w:r>
              <w:rPr>
                <w:color w:val="000000"/>
              </w:rPr>
              <w:t>  </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José R. Mas</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Chief Executive Officer</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(Principal Executive Officer)</w:t>
            </w:r>
          </w:p>
        </w:tc>
      </w:tr>
    </w:tbl>
    <w:p>
      <w:pPr>
        <w:pStyle w:val="TextBody"/>
        <w:bidi w:val="0"/>
        <w:spacing w:before="0" w:after="0"/>
        <w:ind w:left="0" w:right="0" w:hanging="72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certification set forth above is being furnished as an exhibit solely pursuant to Section 906 of the Sarbanes-Oxley Act of 2002 and is not being filed as part of the Quarterly Report on Form 10-Q for the period ended September 30, 2023, or as a separate disclosure document of the Company or the certifying officers.</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32.2</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18 U.S.C. SECTION 1350,</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 connection with the Quarterly Report of MasTec, Inc. (the “Company”) on Form 10-Q for the period ended September 30, 2023 as filed with the Securities and Exchange Commission on the date hereof (the “Report”), I, Paul DiMarco, Executive Vice President and Chief Financial Officer of MasTec, Inc., certify, pursuant to 18 U.S.C. Section 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    The Report fully complies with the requirements of section 13(a) or 15(d) of the Securities Exchange Act of 1934; and</w:t>
      </w:r>
    </w:p>
    <w:p>
      <w:pPr>
        <w:pStyle w:val="TextBody"/>
        <w:bidi w:val="0"/>
        <w:spacing w:before="0" w:after="0"/>
        <w:jc w:val="both"/>
        <w:rPr/>
      </w:pPr>
      <w:r>
        <w:rPr/>
      </w:r>
    </w:p>
    <w:p>
      <w:pPr>
        <w:pStyle w:val="TextBody"/>
        <w:bidi w:val="0"/>
        <w:spacing w:lineRule="auto" w:line="288" w:before="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(2)    The information contained in the Report fairly presents, in all material respects, the financial condition and results of operations of the Company.</w:t>
      </w:r>
    </w:p>
    <w:tbl>
      <w:tblPr>
        <w:tblW w:w="5774" w:type="dxa"/>
        <w:jc w:val="left"/>
        <w:tblInd w:w="0" w:type="dxa"/>
        <w:tblLayout w:type="fixed"/>
        <w:tblCellMar>
          <w:top w:w="28" w:type="dxa"/>
          <w:left w:w="28" w:type="dxa"/>
          <w:bottom w:w="28" w:type="dxa"/>
          <w:right w:w="28" w:type="dxa"/>
        </w:tblCellMar>
      </w:tblPr>
      <w:tblGrid>
        <w:gridCol w:w="677"/>
        <w:gridCol w:w="597"/>
        <w:gridCol w:w="601"/>
        <w:gridCol w:w="1140"/>
        <w:gridCol w:w="1140"/>
        <w:gridCol w:w="1619"/>
      </w:tblGrid>
      <w:tr>
        <w:trPr/>
        <w:tc>
          <w:tcPr>
            <w:tcW w:w="67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November 2, 2023</w:t>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/s/  PAUL DIMARCO</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Paul DiMarco</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Executive Vice President and Chief Financial Officer</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(Principal Financial Officer)</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certification set forth above is being furnished as an exhibit solely pursuant to Section 906 of the Sarbanes-Oxley Act of 2002 and is not being filed as part of the Quarterly Report on Form 10-Q for the period ended September 30, 2023, or as a separate disclosure document of the Company or the certifying officers.</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Exhibit 95.1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MINE SAFETY DISCLOSURES</w:t>
      </w:r>
    </w:p>
    <w:p>
      <w:pPr>
        <w:pStyle w:val="TextBody"/>
        <w:bidi w:val="0"/>
        <w:spacing w:before="0" w:after="0"/>
        <w:jc w:val="center"/>
        <w:rPr/>
      </w:pPr>
      <w:r>
        <w:rPr/>
      </w:r>
    </w:p>
    <w:p>
      <w:pPr>
        <w:pStyle w:val="TextBody"/>
        <w:bidi w:val="0"/>
        <w:spacing w:lineRule="auto" w:line="288" w:before="0" w:after="120"/>
        <w:ind w:left="0" w:right="0" w:firstLine="720"/>
        <w:jc w:val="both"/>
        <w:rPr/>
      </w:pPr>
      <w:r>
        <w:rPr>
          <w:rFonts w:ascii="Times New Roman;sans-serif" w:hAnsi="Times New Roman;sans-serif"/>
          <w:b w:val="false"/>
          <w:color w:val="000000"/>
          <w:sz w:val="18"/>
        </w:rPr>
        <w:t xml:space="preserve">We operate aggregate mines that are subject to regulation by the federal Mine Safety and Health Administration (“MSHA”) under the Federal Mine Safety and Health Act of 1977, 30 U.S.C. § 801 </w:t>
      </w:r>
      <w:r>
        <w:rPr>
          <w:rFonts w:ascii="Times New Roman;sans-serif" w:hAnsi="Times New Roman;sans-serif"/>
          <w:b w:val="false"/>
          <w:i/>
          <w:color w:val="000000"/>
          <w:sz w:val="18"/>
        </w:rPr>
        <w:t>et seq</w:t>
      </w:r>
      <w:r>
        <w:rPr>
          <w:rFonts w:ascii="Times New Roman;sans-serif" w:hAnsi="Times New Roman;sans-serif"/>
          <w:b w:val="false"/>
          <w:color w:val="000000"/>
          <w:sz w:val="18"/>
        </w:rPr>
        <w:t>. (the “Mine Act”). Set forth below is the required information regarding certain mining safety and health matters for the quarter ended September 30, 2023. Citations and orders may be contested and appealed, and in that process, may be reduced in severity and amount, and are sometimes dismissed. The table below includes references to specific sections of the Mine Act.</w:t>
      </w:r>
    </w:p>
    <w:p>
      <w:pPr>
        <w:pStyle w:val="TextBody"/>
        <w:bidi w:val="0"/>
        <w:spacing w:lineRule="auto" w:line="288" w:before="0" w:after="12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information in the table below is presented by mine, consistent with the manner in which we maintain safety and compliance information about our mining operations.</w:t>
      </w:r>
    </w:p>
    <w:tbl>
      <w:tblPr>
        <w:tblW w:w="10205" w:type="dxa"/>
        <w:jc w:val="left"/>
        <w:tblInd w:w="0" w:type="dxa"/>
        <w:tblLayout w:type="fixed"/>
        <w:tblCellMar>
          <w:top w:w="28" w:type="dxa"/>
          <w:left w:w="28" w:type="dxa"/>
          <w:bottom w:w="28" w:type="dxa"/>
          <w:right w:w="28" w:type="dxa"/>
        </w:tblCellMar>
      </w:tblPr>
      <w:tblGrid>
        <w:gridCol w:w="447"/>
        <w:gridCol w:w="221"/>
        <w:gridCol w:w="223"/>
        <w:gridCol w:w="109"/>
        <w:gridCol w:w="109"/>
        <w:gridCol w:w="109"/>
        <w:gridCol w:w="294"/>
        <w:gridCol w:w="294"/>
        <w:gridCol w:w="295"/>
        <w:gridCol w:w="109"/>
        <w:gridCol w:w="109"/>
        <w:gridCol w:w="109"/>
        <w:gridCol w:w="235"/>
        <w:gridCol w:w="235"/>
        <w:gridCol w:w="236"/>
        <w:gridCol w:w="109"/>
        <w:gridCol w:w="109"/>
        <w:gridCol w:w="109"/>
        <w:gridCol w:w="270"/>
        <w:gridCol w:w="270"/>
        <w:gridCol w:w="271"/>
        <w:gridCol w:w="109"/>
        <w:gridCol w:w="109"/>
        <w:gridCol w:w="109"/>
        <w:gridCol w:w="246"/>
        <w:gridCol w:w="246"/>
        <w:gridCol w:w="247"/>
        <w:gridCol w:w="109"/>
        <w:gridCol w:w="109"/>
        <w:gridCol w:w="109"/>
        <w:gridCol w:w="235"/>
        <w:gridCol w:w="235"/>
        <w:gridCol w:w="236"/>
        <w:gridCol w:w="109"/>
        <w:gridCol w:w="109"/>
        <w:gridCol w:w="109"/>
        <w:gridCol w:w="377"/>
        <w:gridCol w:w="377"/>
        <w:gridCol w:w="378"/>
        <w:gridCol w:w="109"/>
        <w:gridCol w:w="109"/>
        <w:gridCol w:w="109"/>
        <w:gridCol w:w="282"/>
        <w:gridCol w:w="282"/>
        <w:gridCol w:w="283"/>
        <w:gridCol w:w="109"/>
        <w:gridCol w:w="109"/>
        <w:gridCol w:w="109"/>
        <w:gridCol w:w="251"/>
        <w:gridCol w:w="251"/>
        <w:gridCol w:w="372"/>
      </w:tblGrid>
      <w:tr>
        <w:trPr/>
        <w:tc>
          <w:tcPr>
            <w:tcW w:w="44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Mine Name / 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ans-serif" w:hAnsi="Times New Roman;sans-serif"/>
                <w:b/>
                <w:color w:val="000000"/>
                <w:sz w:val="18"/>
              </w:rPr>
            </w:pPr>
            <w:r>
              <w:rPr>
                <w:rFonts w:ascii="Times New Roman;sans-serif" w:hAnsi="Times New Roman;sans-serif"/>
                <w:b/>
                <w:color w:val="000000"/>
                <w:sz w:val="18"/>
              </w:rPr>
              <w:t>Section</w:t>
            </w:r>
          </w:p>
          <w:p>
            <w:pPr>
              <w:pStyle w:val="TableContents"/>
              <w:bidi w:val="0"/>
              <w:spacing w:lineRule="auto" w:line="240" w:before="0" w:after="30"/>
              <w:jc w:val="center"/>
              <w:rPr/>
            </w:pPr>
            <w:r>
              <w:rPr>
                <w:rFonts w:ascii="Times New Roman;sans-serif" w:hAnsi="Times New Roman;sans-serif"/>
                <w:b/>
                <w:color w:val="000000"/>
                <w:sz w:val="18"/>
              </w:rPr>
              <w:t>104 Citations</w:t>
            </w:r>
            <w:r>
              <w:rPr>
                <w:rFonts w:ascii="Times New Roman;sans-serif" w:hAnsi="Times New Roman;sans-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ans-serif" w:hAnsi="Times New Roman;sans-serif"/>
                <w:b/>
                <w:color w:val="000000"/>
                <w:sz w:val="18"/>
              </w:rPr>
            </w:pPr>
            <w:r>
              <w:rPr>
                <w:rFonts w:ascii="Times New Roman;sans-serif" w:hAnsi="Times New Roman;sans-serif"/>
                <w:b/>
                <w:color w:val="000000"/>
                <w:sz w:val="18"/>
              </w:rPr>
              <w:t>Section</w:t>
            </w:r>
          </w:p>
          <w:p>
            <w:pPr>
              <w:pStyle w:val="TableContents"/>
              <w:bidi w:val="0"/>
              <w:spacing w:lineRule="auto" w:line="240" w:before="0" w:after="30"/>
              <w:jc w:val="center"/>
              <w:rPr/>
            </w:pPr>
            <w:r>
              <w:rPr>
                <w:rFonts w:ascii="Times New Roman;sans-serif" w:hAnsi="Times New Roman;sans-serif"/>
                <w:b/>
                <w:color w:val="000000"/>
                <w:sz w:val="18"/>
              </w:rPr>
              <w:t>104(b) Orders</w:t>
            </w:r>
            <w:r>
              <w:rPr>
                <w:rFonts w:ascii="Times New Roman;sans-serif" w:hAnsi="Times New Roman;sans-serif"/>
                <w:b/>
                <w:color w:val="000000"/>
                <w:sz w:val="12"/>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ans-serif" w:hAnsi="Times New Roman;sans-serif"/>
                <w:b/>
                <w:color w:val="000000"/>
                <w:sz w:val="18"/>
              </w:rPr>
            </w:pPr>
            <w:r>
              <w:rPr>
                <w:rFonts w:ascii="Times New Roman;sans-serif" w:hAnsi="Times New Roman;sans-serif"/>
                <w:b/>
                <w:color w:val="000000"/>
                <w:sz w:val="18"/>
              </w:rPr>
              <w:t>Section</w:t>
            </w:r>
          </w:p>
          <w:p>
            <w:pPr>
              <w:pStyle w:val="TableContents"/>
              <w:bidi w:val="0"/>
              <w:spacing w:lineRule="auto" w:line="240" w:before="0" w:after="30"/>
              <w:jc w:val="center"/>
              <w:rPr/>
            </w:pPr>
            <w:r>
              <w:rPr>
                <w:rFonts w:ascii="Times New Roman;sans-serif" w:hAnsi="Times New Roman;sans-serif"/>
                <w:b/>
                <w:color w:val="000000"/>
                <w:sz w:val="18"/>
              </w:rPr>
              <w:t>104(d) Citations and Orders</w:t>
            </w:r>
            <w:r>
              <w:rPr>
                <w:rFonts w:ascii="Times New Roman;sans-serif" w:hAnsi="Times New Roman;sans-serif"/>
                <w:b/>
                <w:color w:val="000000"/>
                <w:sz w:val="12"/>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ans-serif" w:hAnsi="Times New Roman;sans-serif"/>
                <w:b/>
                <w:color w:val="000000"/>
                <w:sz w:val="18"/>
              </w:rPr>
            </w:pPr>
            <w:r>
              <w:rPr>
                <w:rFonts w:ascii="Times New Roman;sans-serif" w:hAnsi="Times New Roman;sans-serif"/>
                <w:b/>
                <w:color w:val="000000"/>
                <w:sz w:val="18"/>
              </w:rPr>
              <w:t>Section</w:t>
            </w:r>
          </w:p>
          <w:p>
            <w:pPr>
              <w:pStyle w:val="TableContents"/>
              <w:bidi w:val="0"/>
              <w:spacing w:lineRule="auto" w:line="240" w:before="0" w:after="30"/>
              <w:jc w:val="center"/>
              <w:rPr/>
            </w:pPr>
            <w:r>
              <w:rPr>
                <w:rFonts w:ascii="Times New Roman;sans-serif" w:hAnsi="Times New Roman;sans-serif"/>
                <w:b/>
                <w:color w:val="000000"/>
                <w:sz w:val="18"/>
              </w:rPr>
              <w:t>110(b)(2) Violations</w:t>
            </w:r>
            <w:r>
              <w:rPr>
                <w:rFonts w:ascii="Times New Roman;sans-serif" w:hAnsi="Times New Roman;sans-serif"/>
                <w:b/>
                <w:color w:val="000000"/>
                <w:sz w:val="12"/>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ans-serif" w:hAnsi="Times New Roman;sans-serif"/>
                <w:b/>
                <w:color w:val="000000"/>
                <w:sz w:val="18"/>
              </w:rPr>
            </w:pPr>
            <w:r>
              <w:rPr>
                <w:rFonts w:ascii="Times New Roman;sans-serif" w:hAnsi="Times New Roman;sans-serif"/>
                <w:b/>
                <w:color w:val="000000"/>
                <w:sz w:val="18"/>
              </w:rPr>
              <w:t>Section</w:t>
            </w:r>
          </w:p>
          <w:p>
            <w:pPr>
              <w:pStyle w:val="TableContents"/>
              <w:bidi w:val="0"/>
              <w:spacing w:lineRule="auto" w:line="240" w:before="0" w:after="30"/>
              <w:jc w:val="center"/>
              <w:rPr/>
            </w:pPr>
            <w:r>
              <w:rPr>
                <w:rFonts w:ascii="Times New Roman;sans-serif" w:hAnsi="Times New Roman;sans-serif"/>
                <w:b/>
                <w:color w:val="000000"/>
                <w:sz w:val="18"/>
              </w:rPr>
              <w:t>107(a) Orders</w:t>
            </w:r>
            <w:r>
              <w:rPr>
                <w:rFonts w:ascii="Times New Roman;sans-serif" w:hAnsi="Times New Roman;sans-serif"/>
                <w:b/>
                <w:color w:val="000000"/>
                <w:sz w:val="12"/>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ans-serif" w:hAnsi="Times New Roman;sans-serif"/>
                <w:b/>
                <w:color w:val="000000"/>
                <w:sz w:val="18"/>
              </w:rPr>
            </w:pPr>
            <w:r>
              <w:rPr>
                <w:rFonts w:ascii="Times New Roman;sans-serif" w:hAnsi="Times New Roman;sans-serif"/>
                <w:b/>
                <w:color w:val="000000"/>
                <w:sz w:val="18"/>
              </w:rPr>
              <w:t>Proposed</w:t>
            </w:r>
          </w:p>
          <w:p>
            <w:pPr>
              <w:pStyle w:val="TableContents"/>
              <w:bidi w:val="0"/>
              <w:spacing w:lineRule="auto" w:line="240" w:before="0" w:after="30"/>
              <w:jc w:val="center"/>
              <w:rPr/>
            </w:pPr>
            <w:r>
              <w:rPr>
                <w:rFonts w:ascii="Times New Roman;sans-serif" w:hAnsi="Times New Roman;sans-serif"/>
                <w:b/>
                <w:color w:val="000000"/>
                <w:sz w:val="18"/>
              </w:rPr>
              <w:t>Assessments</w:t>
            </w:r>
            <w:r>
              <w:rPr>
                <w:rFonts w:ascii="Times New Roman;sans-serif" w:hAnsi="Times New Roman;sans-serif"/>
                <w:b/>
                <w:color w:val="000000"/>
                <w:sz w:val="12"/>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53" w:after="30"/>
              <w:jc w:val="center"/>
              <w:rPr/>
            </w:pPr>
            <w:r>
              <w:rPr>
                <w:rFonts w:ascii="Times New Roman;sans-serif" w:hAnsi="Times New Roman;sans-serif"/>
                <w:b/>
                <w:color w:val="000000"/>
                <w:sz w:val="18"/>
              </w:rPr>
              <w:t>Fatalities</w:t>
            </w:r>
            <w:r>
              <w:rPr>
                <w:rFonts w:ascii="Times New Roman;sans-serif" w:hAnsi="Times New Roman;sans-serif"/>
                <w:b/>
                <w:color w:val="000000"/>
                <w:sz w:val="12"/>
              </w:rPr>
              <w: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53" w:after="30"/>
              <w:jc w:val="center"/>
              <w:rPr/>
            </w:pPr>
            <w:r>
              <w:rPr>
                <w:rFonts w:ascii="Times New Roman;sans-serif" w:hAnsi="Times New Roman;sans-serif"/>
                <w:b/>
                <w:color w:val="000000"/>
                <w:sz w:val="18"/>
              </w:rPr>
              <w:t>Pending Legal Action</w:t>
            </w:r>
            <w:r>
              <w:rPr>
                <w:rFonts w:ascii="Times New Roman;sans-serif" w:hAnsi="Times New Roman;sans-serif"/>
                <w:b/>
                <w:color w:val="000000"/>
                <w:sz w:val="12"/>
              </w:rPr>
              <w:t>(h)</w:t>
            </w:r>
          </w:p>
        </w:tc>
      </w:tr>
      <w:tr>
        <w:trPr/>
        <w:tc>
          <w:tcPr>
            <w:tcW w:w="8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FNF Crushing 1 / 02-03091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FNF Crushing 2 / 02-02622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FNF Crushing 3 / 02-02774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FNF Crushing 4 / 02-03036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FNF Crushing 5 / 29-02226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FNF Crushing 6 / 02-02589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FNF Crushing 7 / 02-03079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FNF Crushing 8 / 02-03035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Topaz Mine 26-02440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Mesquite Wash Plant 26-02774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WCC Airport Pit 1102988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WCC State St Quarry 1103011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Gurley Quarry 0103463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(a)    The total number of violations of mandatory health or safety standards that could significantly and substantially contribute to the cause and effect of a coal or other mine safety or health hazard under Section 104 of the Mine Act for which the operator received a citation from the MSHA.</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(b)    The total number of orders issued under Section 104(b) of the Mine Act.</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(c)    The total number of citations and orders for unwarrantable failure of the mine operator to comply with mandatory health or safety standards under Section 104(d) of the Mine Act.</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(d)    The total number of flagrant violations under Section 110(b)(2) of the Mine Act.</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(e)    The total number of imminent danger orders issued under Section 107(a) of the Mine Act.</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(f)    The total dollar value of proposed assessments from the MSHA under the Mine Act.</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(g)    The total number of mining-related fatalities.</w:t>
      </w:r>
    </w:p>
    <w:p>
      <w:pPr>
        <w:pStyle w:val="TextBody"/>
        <w:bidi w:val="0"/>
        <w:spacing w:lineRule="auto" w:line="288" w:before="60" w:after="18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(h)    Any pending legal action before the Federal Mine Safety and Health Review Commission involving the applicable mine(s).</w:t>
      </w:r>
    </w:p>
    <w:p>
      <w:pPr>
        <w:pStyle w:val="TextBody"/>
        <w:bidi w:val="0"/>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During the quarter ended September 30, 2023, our aggregate mines did not receive any written notices of a pattern of violations of mandatory health or safety standards, or of the potential to have such a pattern of violations, that are of such nature as could have significantly and substantially contributed to the cause and effect of coal or other mine health or safety hazards under Section 104(e) of the Mine Act.</w:t>
      </w:r>
    </w:p>
    <w:p>
      <w:pPr>
        <w:pStyle w:val="TextBody"/>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1445"/>
                <wp:effectExtent l="0" t="0" r="0" b="0"/>
                <wp:wrapNone/>
                <wp:docPr id="54" name="Frame5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39231</Words>
  <Characters>221500</Characters>
  <CharactersWithSpaces>259123</CharactersWithSpaces>
  <Paragraphs>3214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