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80"/>
        <w:jc w:val="both"/>
        <w:rPr/>
      </w:pPr>
      <w:r>
        <w:rPr>
          <w:color w:val="000000"/>
        </w:rPr>
        <w:t>☑     </w:t>
      </w:r>
      <w:r>
        <w:rPr>
          <w:rFonts w:ascii="Times New Roman;sans-serif" w:hAnsi="Times New Roman;sans-serif"/>
          <w:b/>
          <w:color w:val="000000"/>
          <w:sz w:val="27"/>
        </w:rPr>
        <w:t>QUARTERLY REPORT PURSUANT TO SECTION 13 OR 15(d) OF THE SECURITIES EXCHANGE ACT OF 1934</w:t>
      </w:r>
    </w:p>
    <w:p>
      <w:pPr>
        <w:pStyle w:val="TextBody"/>
        <w:bidi w:val="0"/>
        <w:spacing w:lineRule="auto" w:line="288" w:before="0" w:after="8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March 31, 2025</w:t>
      </w:r>
    </w:p>
    <w:p>
      <w:pPr>
        <w:pStyle w:val="TextBody"/>
        <w:bidi w:val="0"/>
        <w:spacing w:lineRule="auto" w:line="288" w:before="0" w:after="80"/>
        <w:jc w:val="center"/>
        <w:rPr>
          <w:rFonts w:ascii="Times New Roman;sans-serif" w:hAnsi="Times New Roman;sans-serif"/>
          <w:b/>
          <w:color w:val="000000"/>
          <w:sz w:val="24"/>
        </w:rPr>
      </w:pPr>
      <w:r>
        <w:rPr>
          <w:rFonts w:ascii="Times New Roman;sans-serif" w:hAnsi="Times New Roman;sans-serif"/>
          <w:b/>
          <w:color w:val="000000"/>
          <w:sz w:val="24"/>
        </w:rPr>
        <w:t>OR</w:t>
      </w:r>
    </w:p>
    <w:p>
      <w:pPr>
        <w:pStyle w:val="TextBody"/>
        <w:bidi w:val="0"/>
        <w:spacing w:lineRule="auto" w:line="288" w:before="0" w:after="80"/>
        <w:jc w:val="both"/>
        <w:rPr/>
      </w:pPr>
      <w:r>
        <w:rPr>
          <w:color w:val="000000"/>
        </w:rPr>
        <w:t>☐     </w:t>
      </w:r>
      <w:r>
        <w:rPr>
          <w:rFonts w:ascii="Times New Roman;sans-serif" w:hAnsi="Times New Roman;sans-serif"/>
          <w:b/>
          <w:color w:val="000000"/>
          <w:sz w:val="27"/>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 to __</w:t>
      </w:r>
    </w:p>
    <w:p>
      <w:pPr>
        <w:pStyle w:val="TextBody"/>
        <w:bidi w:val="0"/>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Commission File Number 001-08106</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before="80" w:after="283"/>
        <w:jc w:val="center"/>
        <w:rPr/>
      </w:pPr>
      <w:r>
        <w:rPr/>
        <w:drawing>
          <wp:inline distT="0" distB="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MasTec, Inc.</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415" w:type="dxa"/>
        <w:jc w:val="center"/>
        <w:tblInd w:w="0" w:type="dxa"/>
        <w:tblLayout w:type="fixed"/>
        <w:tblCellMar>
          <w:top w:w="28" w:type="dxa"/>
          <w:left w:w="28" w:type="dxa"/>
          <w:bottom w:w="28" w:type="dxa"/>
          <w:right w:w="28" w:type="dxa"/>
        </w:tblCellMar>
      </w:tblPr>
      <w:tblGrid>
        <w:gridCol w:w="734"/>
        <w:gridCol w:w="645"/>
        <w:gridCol w:w="645"/>
        <w:gridCol w:w="645"/>
        <w:gridCol w:w="645"/>
        <w:gridCol w:w="657"/>
        <w:gridCol w:w="714"/>
        <w:gridCol w:w="714"/>
        <w:gridCol w:w="1016"/>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65-0829355</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(State or other jurisdiction of incorporation or organization)</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(I.R.S. Employer Identification No.)</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800 S. Douglas Road, 12th Floor</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Coral Gables,</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33134</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(Address of principal executive offices)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(305) 599-1800</w:t>
      </w:r>
    </w:p>
    <w:p>
      <w:pPr>
        <w:pStyle w:val="TextBody"/>
        <w:bidi w:val="0"/>
        <w:spacing w:lineRule="auto" w:line="288" w:before="0" w:after="10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6868" w:type="dxa"/>
        <w:jc w:val="center"/>
        <w:tblInd w:w="0" w:type="dxa"/>
        <w:tblLayout w:type="fixed"/>
        <w:tblCellMar>
          <w:top w:w="28" w:type="dxa"/>
          <w:left w:w="28" w:type="dxa"/>
          <w:bottom w:w="28" w:type="dxa"/>
          <w:right w:w="28" w:type="dxa"/>
        </w:tblCellMar>
      </w:tblPr>
      <w:tblGrid>
        <w:gridCol w:w="948"/>
        <w:gridCol w:w="835"/>
        <w:gridCol w:w="841"/>
        <w:gridCol w:w="434"/>
        <w:gridCol w:w="434"/>
        <w:gridCol w:w="436"/>
        <w:gridCol w:w="860"/>
        <w:gridCol w:w="860"/>
        <w:gridCol w:w="1220"/>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u w:val="single"/>
              </w:rPr>
            </w:pPr>
            <w:r>
              <w:rPr>
                <w:rFonts w:ascii="Times New Roman;sans-serif" w:hAnsi="Times New Roman;sans-serif"/>
                <w:b/>
                <w:color w:val="000000"/>
                <w:sz w:val="15"/>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$0.10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MTZ</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bidi w:val="0"/>
        <w:spacing w:lineRule="auto" w:line="288" w:before="60" w:after="283"/>
        <w:jc w:val="both"/>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bl>
    <w:p>
      <w:pPr>
        <w:pStyle w:val="TextBody"/>
        <w:bidi w:val="0"/>
        <w:spacing w:lineRule="auto" w:line="288" w:before="120" w:after="283"/>
        <w:jc w:val="left"/>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18"/>
        </w:rPr>
        <w:t>As of April 28, 2025, MasTec, Inc. had 78,902,752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QUARTER ENDED MARCH 31, 2025</w:t>
      </w:r>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9113" w:type="dxa"/>
        <w:jc w:val="center"/>
        <w:tblInd w:w="0" w:type="dxa"/>
        <w:tblLayout w:type="fixed"/>
        <w:tblCellMar>
          <w:top w:w="28" w:type="dxa"/>
          <w:left w:w="28" w:type="dxa"/>
          <w:bottom w:w="28" w:type="dxa"/>
          <w:right w:w="28" w:type="dxa"/>
        </w:tblCellMar>
      </w:tblPr>
      <w:tblGrid>
        <w:gridCol w:w="362"/>
        <w:gridCol w:w="319"/>
        <w:gridCol w:w="319"/>
        <w:gridCol w:w="709"/>
        <w:gridCol w:w="709"/>
        <w:gridCol w:w="709"/>
        <w:gridCol w:w="1815"/>
        <w:gridCol w:w="1815"/>
        <w:gridCol w:w="1860"/>
        <w:gridCol w:w="145"/>
        <w:gridCol w:w="145"/>
        <w:gridCol w:w="206"/>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6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86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0">
              <w:r>
                <w:rPr>
                  <w:rStyle w:val="InternetLink"/>
                  <w:rFonts w:ascii="Times New Roman;sans-serif" w:hAnsi="Times New Roman;sans-serif"/>
                  <w:b w:val="false"/>
                  <w:color w:val="0000FF"/>
                  <w:sz w:val="18"/>
                  <w:u w:val="single"/>
                </w:rPr>
                <w:t>Part I. FINANCIAL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0">
              <w:r>
                <w:rPr>
                  <w:rStyle w:val="InternetLink"/>
                  <w:rFonts w:ascii="Times New Roman;sans-serif" w:hAnsi="Times New Roman;sans-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
              <w:r>
                <w:rPr>
                  <w:rStyle w:val="InternetLink"/>
                  <w:rFonts w:ascii="Times New Roman;sans-serif" w:hAnsi="Times New Roman;sans-serif"/>
                  <w:b w:val="false"/>
                  <w:color w:val="0000FF"/>
                  <w:sz w:val="18"/>
                  <w:u w:val="single"/>
                </w:rPr>
                <w:t>Item 1</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3">
              <w:r>
                <w:rPr>
                  <w:rStyle w:val="InternetLink"/>
                  <w:rFonts w:ascii="Times New Roman;sans-serif" w:hAnsi="Times New Roman;sans-serif"/>
                  <w:b w:val="false"/>
                  <w:color w:val="0000FF"/>
                  <w:sz w:val="18"/>
                  <w:u w:val="single"/>
                </w:rPr>
                <w:t>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
              <w:r>
                <w:rPr>
                  <w:rStyle w:val="InternetLink"/>
                  <w:rFonts w:ascii="Times New Roman;sans-serif" w:hAnsi="Times New Roman;sans-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6">
              <w:r>
                <w:rPr>
                  <w:rStyle w:val="InternetLink"/>
                  <w:rFonts w:ascii="Times New Roman;sans-serif" w:hAnsi="Times New Roman;sans-serif"/>
                  <w:b w:val="false"/>
                  <w:color w:val="0000FF"/>
                  <w:sz w:val="18"/>
                  <w:u w:val="single"/>
                </w:rPr>
                <w:t>Consolidated Statements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6">
              <w:r>
                <w:rPr>
                  <w:rStyle w:val="InternetLink"/>
                  <w:rFonts w:ascii="Times New Roman;sans-serif" w:hAnsi="Times New Roman;sans-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9">
              <w:r>
                <w:rPr>
                  <w:rStyle w:val="InternetLink"/>
                  <w:rFonts w:ascii="Times New Roman;sans-serif" w:hAnsi="Times New Roman;sans-serif"/>
                  <w:b w:val="false"/>
                  <w:color w:val="0000FF"/>
                  <w:sz w:val="18"/>
                  <w:u w:val="single"/>
                </w:rPr>
                <w:t>Consolidated Statements of Comprehensive Income (Loss)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9">
              <w:r>
                <w:rPr>
                  <w:rStyle w:val="InternetLink"/>
                  <w:rFonts w:ascii="Times New Roman;sans-serif" w:hAnsi="Times New Roman;sans-serif"/>
                  <w:b w:val="false"/>
                  <w:color w:val="0000FF"/>
                  <w:sz w:val="18"/>
                  <w:u w:val="single"/>
                </w:rPr>
                <w:t>4</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22">
              <w:r>
                <w:rPr>
                  <w:rStyle w:val="InternetLink"/>
                  <w:rFonts w:ascii="Times New Roman;sans-serif" w:hAnsi="Times New Roman;sans-serif"/>
                  <w:b w:val="false"/>
                  <w:color w:val="0000FF"/>
                  <w:sz w:val="18"/>
                  <w:u w:val="single"/>
                </w:rPr>
                <w:t>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22">
              <w:r>
                <w:rPr>
                  <w:rStyle w:val="InternetLink"/>
                  <w:rFonts w:ascii="Times New Roman;sans-serif" w:hAnsi="Times New Roman;sans-serif"/>
                  <w:b w:val="false"/>
                  <w:color w:val="0000FF"/>
                  <w:sz w:val="18"/>
                  <w:u w:val="single"/>
                </w:rPr>
                <w:t>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25">
              <w:r>
                <w:rPr>
                  <w:rStyle w:val="InternetLink"/>
                  <w:rFonts w:ascii="Times New Roman;sans-serif" w:hAnsi="Times New Roman;sans-serif"/>
                  <w:b w:val="false"/>
                  <w:color w:val="0000FF"/>
                  <w:sz w:val="18"/>
                  <w:u w:val="single"/>
                </w:rPr>
                <w:t>Consolidated Statements of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25">
              <w:r>
                <w:rPr>
                  <w:rStyle w:val="InternetLink"/>
                  <w:rFonts w:ascii="Times New Roman;sans-serif" w:hAnsi="Times New Roman;sans-serif"/>
                  <w:b w:val="false"/>
                  <w:color w:val="0000FF"/>
                  <w:sz w:val="18"/>
                  <w:u w:val="single"/>
                </w:rPr>
                <w:t>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31">
              <w:r>
                <w:rPr>
                  <w:rStyle w:val="InternetLink"/>
                  <w:rFonts w:ascii="Times New Roman;sans-serif" w:hAnsi="Times New Roman;sans-serif"/>
                  <w:b w:val="false"/>
                  <w:color w:val="0000FF"/>
                  <w:sz w:val="18"/>
                  <w:u w:val="single"/>
                </w:rPr>
                <w:t>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31">
              <w:r>
                <w:rPr>
                  <w:rStyle w:val="InternetLink"/>
                  <w:rFonts w:ascii="Times New Roman;sans-serif" w:hAnsi="Times New Roman;sans-serif"/>
                  <w:b w:val="false"/>
                  <w:color w:val="0000FF"/>
                  <w:sz w:val="18"/>
                  <w:u w:val="single"/>
                </w:rPr>
                <w:t>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34">
              <w:r>
                <w:rPr>
                  <w:rStyle w:val="InternetLink"/>
                  <w:rFonts w:ascii="Times New Roman;sans-serif" w:hAnsi="Times New Roman;sans-serif"/>
                  <w:b w:val="false"/>
                  <w:color w:val="0000FF"/>
                  <w:sz w:val="18"/>
                  <w:u w:val="single"/>
                </w:rPr>
                <w:t>Notes to Consolidated 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34">
              <w:r>
                <w:rPr>
                  <w:rStyle w:val="InternetLink"/>
                  <w:rFonts w:ascii="Times New Roman;sans-serif" w:hAnsi="Times New Roman;sans-serif"/>
                  <w:b w:val="false"/>
                  <w:color w:val="0000FF"/>
                  <w:sz w:val="18"/>
                  <w:u w:val="single"/>
                </w:rPr>
                <w:t>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1.</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37">
              <w:r>
                <w:rPr>
                  <w:rStyle w:val="InternetLink"/>
                  <w:rFonts w:ascii="Times New Roman;sans-serif" w:hAnsi="Times New Roman;sans-serif"/>
                  <w:b w:val="false"/>
                  <w:color w:val="0000FF"/>
                  <w:sz w:val="18"/>
                  <w:u w:val="single"/>
                </w:rPr>
                <w:t>Business, Basis of Presentation and Significant Accounting Policies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37">
              <w:r>
                <w:rPr>
                  <w:rStyle w:val="InternetLink"/>
                  <w:rFonts w:ascii="Times New Roman;sans-serif" w:hAnsi="Times New Roman;sans-serif"/>
                  <w:b w:val="false"/>
                  <w:color w:val="0000FF"/>
                  <w:sz w:val="18"/>
                  <w:u w:val="single"/>
                </w:rPr>
                <w:t>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2.</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43">
              <w:r>
                <w:rPr>
                  <w:rStyle w:val="InternetLink"/>
                  <w:rFonts w:ascii="Times New Roman;sans-serif" w:hAnsi="Times New Roman;sans-serif"/>
                  <w:b w:val="false"/>
                  <w:color w:val="0000FF"/>
                  <w:sz w:val="18"/>
                  <w:u w:val="single"/>
                </w:rPr>
                <w:t>Earnings Per Share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43">
              <w:r>
                <w:rPr>
                  <w:rStyle w:val="InternetLink"/>
                  <w:rFonts w:ascii="Times New Roman;sans-serif" w:hAnsi="Times New Roman;sans-serif"/>
                  <w:b w:val="false"/>
                  <w:color w:val="0000FF"/>
                  <w:sz w:val="18"/>
                  <w:u w:val="single"/>
                </w:rPr>
                <w:t>10</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3.</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46">
              <w:r>
                <w:rPr>
                  <w:rStyle w:val="InternetLink"/>
                  <w:rFonts w:ascii="Times New Roman;sans-serif" w:hAnsi="Times New Roman;sans-serif"/>
                  <w:b w:val="false"/>
                  <w:color w:val="0000FF"/>
                  <w:sz w:val="18"/>
                  <w:u w:val="single"/>
                </w:rPr>
                <w:t>Acquisitions, Goodwill and Other Intangible Assets, Net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46">
              <w:r>
                <w:rPr>
                  <w:rStyle w:val="InternetLink"/>
                  <w:rFonts w:ascii="Times New Roman;sans-serif" w:hAnsi="Times New Roman;sans-serif"/>
                  <w:b w:val="false"/>
                  <w:color w:val="0000FF"/>
                  <w:sz w:val="18"/>
                  <w:u w:val="single"/>
                </w:rPr>
                <w:t>11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4.</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49">
              <w:r>
                <w:rPr>
                  <w:rStyle w:val="InternetLink"/>
                  <w:rFonts w:ascii="Times New Roman;sans-serif" w:hAnsi="Times New Roman;sans-serif"/>
                  <w:b w:val="false"/>
                  <w:color w:val="0000FF"/>
                  <w:sz w:val="18"/>
                  <w:u w:val="single"/>
                </w:rPr>
                <w:t>Fair Value of Financial Instruments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49">
              <w:r>
                <w:rPr>
                  <w:rStyle w:val="InternetLink"/>
                  <w:rFonts w:ascii="Times New Roman;sans-serif" w:hAnsi="Times New Roman;sans-serif"/>
                  <w:b w:val="false"/>
                  <w:color w:val="0000FF"/>
                  <w:sz w:val="18"/>
                  <w:u w:val="single"/>
                </w:rPr>
                <w:t>12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5.</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52">
              <w:r>
                <w:rPr>
                  <w:rStyle w:val="InternetLink"/>
                  <w:rFonts w:ascii="Times New Roman;sans-serif" w:hAnsi="Times New Roman;sans-serif"/>
                  <w:b w:val="false"/>
                  <w:color w:val="0000FF"/>
                  <w:sz w:val="18"/>
                  <w:u w:val="single"/>
                </w:rPr>
                <w:t>Accounts Receivable, Net of Allowance, and Contract Assets and Liabilities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52">
              <w:r>
                <w:rPr>
                  <w:rStyle w:val="InternetLink"/>
                  <w:rFonts w:ascii="Times New Roman;sans-serif" w:hAnsi="Times New Roman;sans-serif"/>
                  <w:b w:val="false"/>
                  <w:color w:val="0000FF"/>
                  <w:sz w:val="18"/>
                  <w:u w:val="single"/>
                </w:rPr>
                <w:t>14</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6.</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58">
              <w:r>
                <w:rPr>
                  <w:rStyle w:val="InternetLink"/>
                  <w:rFonts w:ascii="Times New Roman;sans-serif" w:hAnsi="Times New Roman;sans-serif"/>
                  <w:b w:val="false"/>
                  <w:color w:val="0000FF"/>
                  <w:sz w:val="18"/>
                  <w:u w:val="single"/>
                </w:rPr>
                <w:t>Debt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58">
              <w:r>
                <w:rPr>
                  <w:rStyle w:val="InternetLink"/>
                  <w:rFonts w:ascii="Times New Roman;sans-serif" w:hAnsi="Times New Roman;sans-serif"/>
                  <w:b w:val="false"/>
                  <w:color w:val="0000FF"/>
                  <w:sz w:val="18"/>
                  <w:u w:val="single"/>
                </w:rPr>
                <w:t>15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7.</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61">
              <w:r>
                <w:rPr>
                  <w:rStyle w:val="InternetLink"/>
                  <w:rFonts w:ascii="Times New Roman;sans-serif" w:hAnsi="Times New Roman;sans-serif"/>
                  <w:b w:val="false"/>
                  <w:color w:val="0000FF"/>
                  <w:sz w:val="18"/>
                  <w:u w:val="single"/>
                </w:rPr>
                <w:t>Lease Obligations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61">
              <w:r>
                <w:rPr>
                  <w:rStyle w:val="InternetLink"/>
                  <w:rFonts w:ascii="Times New Roman;sans-serif" w:hAnsi="Times New Roman;sans-serif"/>
                  <w:b w:val="false"/>
                  <w:color w:val="0000FF"/>
                  <w:sz w:val="18"/>
                  <w:u w:val="single"/>
                </w:rPr>
                <w:t>16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8.</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64">
              <w:r>
                <w:rPr>
                  <w:rStyle w:val="InternetLink"/>
                  <w:rFonts w:ascii="Times New Roman;sans-serif" w:hAnsi="Times New Roman;sans-serif"/>
                  <w:b w:val="false"/>
                  <w:color w:val="0000FF"/>
                  <w:sz w:val="18"/>
                  <w:u w:val="single"/>
                </w:rPr>
                <w:t>Stock-Based Compensation and Other Employee Benefit Plans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64">
              <w:r>
                <w:rPr>
                  <w:rStyle w:val="InternetLink"/>
                  <w:rFonts w:ascii="Times New Roman;sans-serif" w:hAnsi="Times New Roman;sans-serif"/>
                  <w:b w:val="false"/>
                  <w:color w:val="0000FF"/>
                  <w:sz w:val="18"/>
                  <w:u w:val="single"/>
                </w:rPr>
                <w:t>17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9.</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70">
              <w:r>
                <w:rPr>
                  <w:rStyle w:val="InternetLink"/>
                  <w:rFonts w:ascii="Times New Roman;sans-serif" w:hAnsi="Times New Roman;sans-serif"/>
                  <w:b w:val="false"/>
                  <w:color w:val="0000FF"/>
                  <w:sz w:val="18"/>
                  <w:u w:val="single"/>
                </w:rPr>
                <w:t>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70">
              <w:r>
                <w:rPr>
                  <w:rStyle w:val="InternetLink"/>
                  <w:rFonts w:ascii="Times New Roman;sans-serif" w:hAnsi="Times New Roman;sans-serif"/>
                  <w:b w:val="false"/>
                  <w:color w:val="0000FF"/>
                  <w:sz w:val="18"/>
                  <w:u w:val="single"/>
                </w:rPr>
                <w:t>17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10.</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73">
              <w:r>
                <w:rPr>
                  <w:rStyle w:val="InternetLink"/>
                  <w:rFonts w:ascii="Times New Roman;sans-serif" w:hAnsi="Times New Roman;sans-serif"/>
                  <w:b w:val="false"/>
                  <w:color w:val="0000FF"/>
                  <w:sz w:val="18"/>
                  <w:u w:val="single"/>
                </w:rPr>
                <w:t>Income Taxes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73">
              <w:r>
                <w:rPr>
                  <w:rStyle w:val="InternetLink"/>
                  <w:rFonts w:ascii="Times New Roman;sans-serif" w:hAnsi="Times New Roman;sans-serif"/>
                  <w:b w:val="false"/>
                  <w:color w:val="0000FF"/>
                  <w:sz w:val="18"/>
                  <w:u w:val="single"/>
                </w:rPr>
                <w:t>18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11.</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76">
              <w:r>
                <w:rPr>
                  <w:rStyle w:val="InternetLink"/>
                  <w:rFonts w:ascii="Times New Roman;sans-serif" w:hAnsi="Times New Roman;sans-serif"/>
                  <w:b w:val="false"/>
                  <w:color w:val="0000FF"/>
                  <w:sz w:val="18"/>
                  <w:u w:val="single"/>
                </w:rPr>
                <w:t>Segments and Related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76">
              <w:r>
                <w:rPr>
                  <w:rStyle w:val="InternetLink"/>
                  <w:rFonts w:ascii="Times New Roman;sans-serif" w:hAnsi="Times New Roman;sans-serif"/>
                  <w:b w:val="false"/>
                  <w:color w:val="0000FF"/>
                  <w:sz w:val="18"/>
                  <w:u w:val="single"/>
                </w:rPr>
                <w:t>18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12.</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79">
              <w:r>
                <w:rPr>
                  <w:rStyle w:val="InternetLink"/>
                  <w:rFonts w:ascii="Times New Roman;sans-serif" w:hAnsi="Times New Roman;sans-serif"/>
                  <w:b w:val="false"/>
                  <w:color w:val="0000FF"/>
                  <w:sz w:val="18"/>
                  <w:u w:val="single"/>
                </w:rPr>
                <w:t>Commitments and Contingencies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79">
              <w:r>
                <w:rPr>
                  <w:rStyle w:val="InternetLink"/>
                  <w:rFonts w:ascii="Times New Roman;sans-serif" w:hAnsi="Times New Roman;sans-serif"/>
                  <w:b w:val="false"/>
                  <w:color w:val="0000FF"/>
                  <w:sz w:val="18"/>
                  <w:u w:val="single"/>
                </w:rPr>
                <w:t>20</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E32E1"/>
                <w:sz w:val="18"/>
              </w:rPr>
            </w:pPr>
            <w:r>
              <w:rPr>
                <w:rFonts w:ascii="Times New Roman;sans-serif" w:hAnsi="Times New Roman;sans-serif"/>
                <w:b w:val="false"/>
                <w:color w:val="0E32E1"/>
                <w:sz w:val="18"/>
              </w:rPr>
              <w:t>13.</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82">
              <w:r>
                <w:rPr>
                  <w:rStyle w:val="InternetLink"/>
                  <w:rFonts w:ascii="Times New Roman;sans-serif" w:hAnsi="Times New Roman;sans-serif"/>
                  <w:b w:val="false"/>
                  <w:color w:val="0000FF"/>
                  <w:sz w:val="18"/>
                  <w:u w:val="single"/>
                </w:rPr>
                <w:t>Related Party Transactions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82">
              <w:r>
                <w:rPr>
                  <w:rStyle w:val="InternetLink"/>
                  <w:rFonts w:ascii="Times New Roman;sans-serif" w:hAnsi="Times New Roman;sans-serif"/>
                  <w:b w:val="false"/>
                  <w:color w:val="0000FF"/>
                  <w:sz w:val="18"/>
                  <w:u w:val="single"/>
                </w:rPr>
                <w:t>22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88">
              <w:r>
                <w:rPr>
                  <w:rStyle w:val="InternetLink"/>
                  <w:rFonts w:ascii="Times New Roman;sans-serif" w:hAnsi="Times New Roman;sans-serif"/>
                  <w:b w:val="false"/>
                  <w:color w:val="0000FF"/>
                  <w:sz w:val="18"/>
                  <w:u w:val="single"/>
                </w:rPr>
                <w:t>Item 2</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8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88">
              <w:r>
                <w:rPr>
                  <w:rStyle w:val="InternetLink"/>
                  <w:rFonts w:ascii="Times New Roman;sans-serif" w:hAnsi="Times New Roman;sans-serif"/>
                  <w:b w:val="false"/>
                  <w:color w:val="0000FF"/>
                  <w:sz w:val="18"/>
                  <w:u w:val="single"/>
                </w:rPr>
                <w:t>24</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18">
              <w:r>
                <w:rPr>
                  <w:rStyle w:val="InternetLink"/>
                  <w:rFonts w:ascii="Times New Roman;sans-serif" w:hAnsi="Times New Roman;sans-serif"/>
                  <w:b w:val="false"/>
                  <w:color w:val="0000FF"/>
                  <w:sz w:val="18"/>
                  <w:u w:val="single"/>
                </w:rPr>
                <w:t>Item 3</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18">
              <w:r>
                <w:rPr>
                  <w:rStyle w:val="InternetLink"/>
                  <w:rFonts w:ascii="Times New Roman;sans-serif" w:hAnsi="Times New Roman;sans-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18">
              <w:r>
                <w:rPr>
                  <w:rStyle w:val="InternetLink"/>
                  <w:rFonts w:ascii="Times New Roman;sans-serif" w:hAnsi="Times New Roman;sans-serif"/>
                  <w:b w:val="false"/>
                  <w:color w:val="0000FF"/>
                  <w:sz w:val="18"/>
                  <w:u w:val="single"/>
                </w:rPr>
                <w:t>34</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21">
              <w:r>
                <w:rPr>
                  <w:rStyle w:val="InternetLink"/>
                  <w:rFonts w:ascii="Times New Roman;sans-serif" w:hAnsi="Times New Roman;sans-serif"/>
                  <w:b w:val="false"/>
                  <w:color w:val="0000FF"/>
                  <w:sz w:val="18"/>
                  <w:u w:val="single"/>
                </w:rPr>
                <w:t>Item 4</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21">
              <w:r>
                <w:rPr>
                  <w:rStyle w:val="InternetLink"/>
                  <w:rFonts w:ascii="Times New Roman;sans-serif" w:hAnsi="Times New Roman;sans-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21">
              <w:r>
                <w:rPr>
                  <w:rStyle w:val="InternetLink"/>
                  <w:rFonts w:ascii="Times New Roman;sans-serif" w:hAnsi="Times New Roman;sans-serif"/>
                  <w:b w:val="false"/>
                  <w:color w:val="0000FF"/>
                  <w:sz w:val="18"/>
                  <w:u w:val="single"/>
                </w:rPr>
                <w:t>34</w:t>
              </w:r>
            </w:hyperlink>
          </w:p>
        </w:tc>
      </w:tr>
      <w:tr>
        <w:trPr/>
        <w:tc>
          <w:tcPr>
            <w:tcW w:w="86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24">
              <w:r>
                <w:rPr>
                  <w:rStyle w:val="InternetLink"/>
                  <w:rFonts w:ascii="Times New Roman;sans-serif" w:hAnsi="Times New Roman;sans-serif"/>
                  <w:b w:val="false"/>
                  <w:color w:val="0000FF"/>
                  <w:sz w:val="18"/>
                  <w:u w:val="single"/>
                </w:rPr>
                <w:t>Part II.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24">
              <w:r>
                <w:rPr>
                  <w:rStyle w:val="InternetLink"/>
                  <w:rFonts w:ascii="Times New Roman;sans-serif" w:hAnsi="Times New Roman;sans-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27">
              <w:r>
                <w:rPr>
                  <w:rStyle w:val="InternetLink"/>
                  <w:rFonts w:ascii="Times New Roman;sans-serif" w:hAnsi="Times New Roman;sans-serif"/>
                  <w:b w:val="false"/>
                  <w:color w:val="0000FF"/>
                  <w:sz w:val="18"/>
                  <w:u w:val="single"/>
                </w:rPr>
                <w:t>Item 1</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27">
              <w:r>
                <w:rPr>
                  <w:rStyle w:val="InternetLink"/>
                  <w:rFonts w:ascii="Times New Roman;sans-serif" w:hAnsi="Times New Roman;sans-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27">
              <w:r>
                <w:rPr>
                  <w:rStyle w:val="InternetLink"/>
                  <w:rFonts w:ascii="Times New Roman;sans-serif" w:hAnsi="Times New Roman;sans-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0">
              <w:r>
                <w:rPr>
                  <w:rStyle w:val="InternetLink"/>
                  <w:rFonts w:ascii="Times New Roman;sans-serif" w:hAnsi="Times New Roman;sans-serif"/>
                  <w:b w:val="false"/>
                  <w:color w:val="0000FF"/>
                  <w:sz w:val="18"/>
                  <w:u w:val="single"/>
                </w:rPr>
                <w:t>Item 1A</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30">
              <w:r>
                <w:rPr>
                  <w:rStyle w:val="InternetLink"/>
                  <w:rFonts w:ascii="Times New Roman;sans-serif" w:hAnsi="Times New Roman;sans-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0">
              <w:r>
                <w:rPr>
                  <w:rStyle w:val="InternetLink"/>
                  <w:rFonts w:ascii="Times New Roman;sans-serif" w:hAnsi="Times New Roman;sans-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3">
              <w:r>
                <w:rPr>
                  <w:rStyle w:val="InternetLink"/>
                  <w:rFonts w:ascii="Times New Roman;sans-serif" w:hAnsi="Times New Roman;sans-serif"/>
                  <w:b w:val="false"/>
                  <w:color w:val="0000FF"/>
                  <w:sz w:val="18"/>
                  <w:u w:val="single"/>
                </w:rPr>
                <w:t>Item 2</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33">
              <w:r>
                <w:rPr>
                  <w:rStyle w:val="InternetLink"/>
                  <w:rFonts w:ascii="Times New Roman;sans-serif" w:hAnsi="Times New Roman;sans-serif"/>
                  <w:b w:val="false"/>
                  <w:color w:val="0000FF"/>
                  <w:sz w:val="18"/>
                  <w:u w:val="single"/>
                </w:rPr>
                <w:t>Unregistered Sales of Equity Securities and 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3">
              <w:r>
                <w:rPr>
                  <w:rStyle w:val="InternetLink"/>
                  <w:rFonts w:ascii="Times New Roman;sans-serif" w:hAnsi="Times New Roman;sans-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6">
              <w:r>
                <w:rPr>
                  <w:rStyle w:val="InternetLink"/>
                  <w:rFonts w:ascii="Times New Roman;sans-serif" w:hAnsi="Times New Roman;sans-serif"/>
                  <w:b w:val="false"/>
                  <w:color w:val="0000FF"/>
                  <w:sz w:val="18"/>
                  <w:u w:val="single"/>
                </w:rPr>
                <w:t>Item 4</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36">
              <w:r>
                <w:rPr>
                  <w:rStyle w:val="InternetLink"/>
                  <w:rFonts w:ascii="Times New Roman;sans-serif" w:hAnsi="Times New Roman;sans-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6">
              <w:r>
                <w:rPr>
                  <w:rStyle w:val="InternetLink"/>
                  <w:rFonts w:ascii="Times New Roman;sans-serif" w:hAnsi="Times New Roman;sans-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9">
              <w:r>
                <w:rPr>
                  <w:rStyle w:val="InternetLink"/>
                  <w:rFonts w:ascii="Times New Roman;sans-serif" w:hAnsi="Times New Roman;sans-serif"/>
                  <w:b w:val="false"/>
                  <w:color w:val="0000FF"/>
                  <w:sz w:val="18"/>
                  <w:u w:val="single"/>
                </w:rPr>
                <w:t>Item 5</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39">
              <w:r>
                <w:rPr>
                  <w:rStyle w:val="InternetLink"/>
                  <w:rFonts w:ascii="Times New Roman;sans-serif" w:hAnsi="Times New Roman;sans-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39">
              <w:r>
                <w:rPr>
                  <w:rStyle w:val="InternetLink"/>
                  <w:rFonts w:ascii="Times New Roman;sans-serif" w:hAnsi="Times New Roman;sans-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45">
              <w:r>
                <w:rPr>
                  <w:rStyle w:val="InternetLink"/>
                  <w:rFonts w:ascii="Times New Roman;sans-serif" w:hAnsi="Times New Roman;sans-serif"/>
                  <w:b w:val="false"/>
                  <w:color w:val="0000FF"/>
                  <w:sz w:val="18"/>
                  <w:u w:val="single"/>
                </w:rPr>
                <w:t>Item 6</w:t>
              </w:r>
            </w:hyperlink>
          </w:p>
        </w:tc>
        <w:tc>
          <w:tcPr>
            <w:tcW w:w="7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45">
              <w:r>
                <w:rPr>
                  <w:rStyle w:val="InternetLink"/>
                  <w:rFonts w:ascii="Times New Roman;sans-serif" w:hAnsi="Times New Roman;sans-serif"/>
                  <w:b w:val="false"/>
                  <w:color w:val="0000FF"/>
                  <w:sz w:val="18"/>
                  <w:u w:val="single"/>
                </w:rPr>
                <w:t>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45">
              <w:r>
                <w:rPr>
                  <w:rStyle w:val="InternetLink"/>
                  <w:rFonts w:ascii="Times New Roman;sans-serif" w:hAnsi="Times New Roman;sans-serif"/>
                  <w:b w:val="false"/>
                  <w:color w:val="0000FF"/>
                  <w:sz w:val="18"/>
                  <w:u w:val="single"/>
                </w:rPr>
                <w:t>37</w:t>
              </w:r>
            </w:hyperlink>
          </w:p>
        </w:tc>
      </w:tr>
      <w:tr>
        <w:trPr/>
        <w:tc>
          <w:tcPr>
            <w:tcW w:w="86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70eaa6f42784110851c8a69920e3171_148">
              <w:r>
                <w:rPr>
                  <w:rStyle w:val="InternetLink"/>
                  <w:rFonts w:ascii="Times New Roman;sans-serif" w:hAnsi="Times New Roman;sans-serif"/>
                  <w:b w:val="false"/>
                  <w:color w:val="0000FF"/>
                  <w:sz w:val="18"/>
                  <w:u w:val="single"/>
                </w:rPr>
                <w:t>SIGNATURES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0eaa6f42784110851c8a69920e3171_148">
              <w:r>
                <w:rPr>
                  <w:rStyle w:val="InternetLink"/>
                  <w:rFonts w:ascii="Times New Roman;sans-serif" w:hAnsi="Times New Roman;sans-serif"/>
                  <w:b w:val="false"/>
                  <w:color w:val="0000FF"/>
                  <w:sz w:val="18"/>
                  <w:u w:val="single"/>
                </w:rPr>
                <w:t>38</w:t>
              </w:r>
            </w:hyperlink>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(unaudited - in thousands, except per share amounts)</w:t>
      </w:r>
    </w:p>
    <w:tbl>
      <w:tblPr>
        <w:tblW w:w="7375" w:type="dxa"/>
        <w:jc w:val="left"/>
        <w:tblInd w:w="0" w:type="dxa"/>
        <w:tblLayout w:type="fixed"/>
        <w:tblCellMar>
          <w:top w:w="28" w:type="dxa"/>
          <w:left w:w="28" w:type="dxa"/>
          <w:bottom w:w="28" w:type="dxa"/>
          <w:right w:w="28" w:type="dxa"/>
        </w:tblCellMar>
      </w:tblPr>
      <w:tblGrid>
        <w:gridCol w:w="1523"/>
        <w:gridCol w:w="1340"/>
        <w:gridCol w:w="1352"/>
        <w:gridCol w:w="196"/>
        <w:gridCol w:w="871"/>
        <w:gridCol w:w="109"/>
        <w:gridCol w:w="109"/>
        <w:gridCol w:w="109"/>
        <w:gridCol w:w="109"/>
        <w:gridCol w:w="196"/>
        <w:gridCol w:w="871"/>
        <w:gridCol w:w="109"/>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MasTec,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 (Note 2):</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 (LOSS)</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7708" w:type="dxa"/>
        <w:jc w:val="left"/>
        <w:tblInd w:w="0" w:type="dxa"/>
        <w:tblLayout w:type="fixed"/>
        <w:tblCellMar>
          <w:top w:w="28" w:type="dxa"/>
          <w:left w:w="28" w:type="dxa"/>
          <w:bottom w:w="28" w:type="dxa"/>
          <w:right w:w="28" w:type="dxa"/>
        </w:tblCellMar>
      </w:tblPr>
      <w:tblGrid>
        <w:gridCol w:w="1663"/>
        <w:gridCol w:w="1465"/>
        <w:gridCol w:w="1476"/>
        <w:gridCol w:w="223"/>
        <w:gridCol w:w="736"/>
        <w:gridCol w:w="124"/>
        <w:gridCol w:w="124"/>
        <w:gridCol w:w="124"/>
        <w:gridCol w:w="124"/>
        <w:gridCol w:w="223"/>
        <w:gridCol w:w="821"/>
        <w:gridCol w:w="124"/>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tax:</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gains (losses)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investment activity</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interests:</w:t>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MasTec, Inc.</w:t>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6,847 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(38,837)</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(unaudited - in thousands, except share information)</w:t>
      </w:r>
    </w:p>
    <w:tbl>
      <w:tblPr>
        <w:tblW w:w="10205" w:type="dxa"/>
        <w:jc w:val="left"/>
        <w:tblInd w:w="0" w:type="dxa"/>
        <w:tblLayout w:type="fixed"/>
        <w:tblCellMar>
          <w:top w:w="28" w:type="dxa"/>
          <w:left w:w="28" w:type="dxa"/>
          <w:bottom w:w="28" w:type="dxa"/>
          <w:right w:w="28" w:type="dxa"/>
        </w:tblCellMar>
      </w:tblPr>
      <w:tblGrid>
        <w:gridCol w:w="2878"/>
        <w:gridCol w:w="2307"/>
        <w:gridCol w:w="2294"/>
        <w:gridCol w:w="196"/>
        <w:gridCol w:w="871"/>
        <w:gridCol w:w="109"/>
        <w:gridCol w:w="109"/>
        <w:gridCol w:w="109"/>
        <w:gridCol w:w="109"/>
        <w:gridCol w:w="196"/>
        <w:gridCol w:w="871"/>
        <w:gridCol w:w="156"/>
      </w:tblGrid>
      <w:tr>
        <w:trPr/>
        <w:tc>
          <w:tcPr>
            <w:tcW w:w="287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3,652,530 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1,548,916 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8,975,275 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including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wages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2,999,699 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including finance leases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2,038,017 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5,987,932 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$1.00 par value: authorized shares - 5,000,000; issued and outstanding shares – none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$0.10 par value: authorized shares - 145,000,000; issued shares - 99,325,262 and 99,029,011 (including 1,296,840 and 1,130,020 of unvested stock awards) as of March 31, 2025 and December 31,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surplus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20,052,361 and 19,719,796 shares as of March 31, 2025 and December 31,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MasTec, Inc.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2,911,857 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2,987,343 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8,861,938 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8,975,275 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EQUITY</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(unaudited - in thousands, except shares)</w:t>
      </w:r>
    </w:p>
    <w:tbl>
      <w:tblPr>
        <w:tblW w:w="15926" w:type="dxa"/>
        <w:jc w:val="left"/>
        <w:tblInd w:w="0" w:type="dxa"/>
        <w:tblLayout w:type="fixed"/>
        <w:tblCellMar>
          <w:top w:w="28" w:type="dxa"/>
          <w:left w:w="28" w:type="dxa"/>
          <w:bottom w:w="28" w:type="dxa"/>
          <w:right w:w="28" w:type="dxa"/>
        </w:tblCellMar>
      </w:tblPr>
      <w:tblGrid>
        <w:gridCol w:w="801"/>
        <w:gridCol w:w="229"/>
        <w:gridCol w:w="231"/>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84"/>
        <w:gridCol w:w="938"/>
        <w:gridCol w:w="159"/>
        <w:gridCol w:w="109"/>
        <w:gridCol w:w="109"/>
        <w:gridCol w:w="109"/>
        <w:gridCol w:w="196"/>
        <w:gridCol w:w="871"/>
        <w:gridCol w:w="154"/>
      </w:tblGrid>
      <w:tr>
        <w:trPr/>
        <w:tc>
          <w:tcPr>
            <w:tcW w:w="8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b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Equity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99,029,011 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(19,719,796)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(40,847)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2,911,857 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treasury stock, at cost</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99,325,262 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(20,052,361)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2,884,341 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99,093,134 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2,706,152 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assumed related to acquisitions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99,272,155 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1,270,291 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2,104,613 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(50,654)</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2,674,264 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15,760 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2,690,024 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9044" w:type="dxa"/>
        <w:jc w:val="center"/>
        <w:tblInd w:w="0" w:type="dxa"/>
        <w:tblLayout w:type="fixed"/>
        <w:tblCellMar>
          <w:top w:w="28" w:type="dxa"/>
          <w:left w:w="28" w:type="dxa"/>
          <w:bottom w:w="28" w:type="dxa"/>
          <w:right w:w="28" w:type="dxa"/>
        </w:tblCellMar>
      </w:tblPr>
      <w:tblGrid>
        <w:gridCol w:w="2309"/>
        <w:gridCol w:w="2025"/>
        <w:gridCol w:w="2041"/>
        <w:gridCol w:w="207"/>
        <w:gridCol w:w="777"/>
        <w:gridCol w:w="115"/>
        <w:gridCol w:w="115"/>
        <w:gridCol w:w="115"/>
        <w:gridCol w:w="115"/>
        <w:gridCol w:w="207"/>
        <w:gridCol w:w="856"/>
        <w:gridCol w:w="162"/>
      </w:tblGrid>
      <w:tr>
        <w:trPr/>
        <w:tc>
          <w:tcPr>
            <w:tcW w:w="23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deferred income taxes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(Recovery of) provision for credit losses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on sales and impairments of assets,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 and long-term portion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 and long-term portion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other investments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other investments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0" w:name="idf63b0f1dd964157b10c8873ee69e178_32-0-1"/>
            <w:bookmarkEnd w:id="0"/>
            <w:r>
              <w:rPr>
                <w:rFonts w:ascii="Times New Roman;sans-serif" w:hAnsi="Times New Roman;sans-serif"/>
                <w:b w:val="false"/>
                <w:color w:val="000000"/>
                <w:sz w:val="18"/>
              </w:rPr>
              <w:t>Cash flows from financing activities:</w:t>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credit facilities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credit facilities and term loans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(1,186,938)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acquisition-related contingent consideration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non-controlling interests, including acquisition of interests and distributions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stock-based awards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(97,694)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(374,822)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currency translation on cash</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399,903 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529,561 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345,749 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249,326 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13" w:type="dxa"/>
        <w:jc w:val="center"/>
        <w:tblInd w:w="0" w:type="dxa"/>
        <w:tblLayout w:type="fixed"/>
        <w:tblCellMar>
          <w:top w:w="28" w:type="dxa"/>
          <w:left w:w="28" w:type="dxa"/>
          <w:bottom w:w="28" w:type="dxa"/>
          <w:right w:w="28" w:type="dxa"/>
        </w:tblCellMar>
      </w:tblPr>
      <w:tblGrid>
        <w:gridCol w:w="2369"/>
        <w:gridCol w:w="2076"/>
        <w:gridCol w:w="2094"/>
        <w:gridCol w:w="196"/>
        <w:gridCol w:w="646"/>
        <w:gridCol w:w="109"/>
        <w:gridCol w:w="109"/>
        <w:gridCol w:w="109"/>
        <w:gridCol w:w="109"/>
        <w:gridCol w:w="196"/>
        <w:gridCol w:w="646"/>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refunds, net of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and equipment from finance leases and other 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 – Business, Basis of Presentation and Significant Accounting Policies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Nature of the Business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Pipeline Infrastructure and (5) Other.</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Basis of Presentation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2024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2024 contained in the Company’s 2024 Annual Report on Form 10-K (the “2024 Form 10-K”). In management’s opinion, all normal and recurring adjustments considered necessary for a fair statement of the financial position, results of operations and cash flows for the periods presented have been included.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first quarter of 2025, the Company made changes to its Communications segment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See Note 11 – Segments and Related Information for additional information pertaining to the Company’s reportable segments. The segments are reported on a comparable basis for all periods presented.</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Principles of Consolidation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appropriate, prior year amounts are reclassified to conform with the current period presentation.</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Translation of Foreign Currencies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these consolidated financial statements, “$” means U.S. dollars unless otherwise noted.</w:t>
      </w:r>
    </w:p>
    <w:p>
      <w:pPr>
        <w:pStyle w:val="TextBody"/>
        <w:bidi w:val="0"/>
        <w:spacing w:lineRule="auto" w:line="288" w:before="120" w:after="120"/>
        <w:ind w:left="0" w:right="0" w:firstLine="360"/>
        <w:jc w:val="both"/>
        <w:rPr>
          <w:rFonts w:ascii="Times New Roman;sans-serif" w:hAnsi="Times New Roman;sans-serif"/>
          <w:b/>
          <w:color w:val="000000"/>
          <w:sz w:val="18"/>
        </w:rPr>
      </w:pPr>
      <w:r>
        <w:rPr>
          <w:rFonts w:ascii="Times New Roman;sans-serif" w:hAnsi="Times New Roman;sans-serif"/>
          <w:b/>
          <w:color w:val="000000"/>
          <w:sz w:val="18"/>
        </w:rPr>
        <w:t>Significant Accounting Policies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ans-serif" w:hAnsi="Times New Roman;sans-serif"/>
          <w:b/>
          <w:i/>
          <w:color w:val="000000"/>
          <w:sz w:val="18"/>
        </w:rPr>
        <w:t>Contracts.</w:t>
      </w:r>
      <w:r>
        <w:rPr>
          <w:color w:val="000000"/>
        </w:rPr>
        <w:t xml:space="preserve"> </w:t>
      </w:r>
      <w:r>
        <w:rPr>
          <w:rFonts w:ascii="Times New Roman;sans-serif" w:hAnsi="Times New Roman;sans-serif"/>
          <w:b w:val="false"/>
          <w:color w:val="000000"/>
          <w:sz w:val="18"/>
        </w:rPr>
        <w:t>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48% and 40% of consolidated revenue for the three month periods ended March 31, 2025 and 2024, respectively.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2% of consolidated revenue for both the three month periods ended March 31, 2025 and 2024.</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total transaction price and cost estimation processes used for recognizing revenue over time under the cost-to-cost method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based on management’s experience and judgment. For both the three month periods ended March 31, 2025 and 2024, project profit was affected by less than 5% as a result of changes in contract estimates included in projects that were in process as of December 31, 2024 and 2023, respectively.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1.8% for the three month period ended March 31, 2025, and such net changes negatively affected revenue by less than 0.1% for the three month period ended March 31, 2024.</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Performance Obligations.</w:t>
      </w:r>
      <w:r>
        <w:rPr>
          <w:color w:val="000000"/>
        </w:rPr>
        <w:t xml:space="preserve"> </w:t>
      </w:r>
      <w:r>
        <w:rPr>
          <w:rFonts w:ascii="Times New Roman;sans-serif" w:hAnsi="Times New Roman;sans-serif"/>
          <w:b w:val="false"/>
          <w:color w:val="000000"/>
          <w:sz w:val="18"/>
        </w:rPr>
        <w:t>A performance obligation is a contractual promise to transfer a distinct good or service to a customer.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2025, the amount of the Company’s remaining performance obligations was $11.0 billion. Based on current expectations, the Company anticipates it will recognize approximately $6.7 billion, or 60.7%, of its remaining performance obligations as revenue during 2025, with the majority of the remaining balance expected to be recognized over the subsequent two year period.</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Variable Consideration.</w:t>
      </w:r>
      <w:r>
        <w:rPr>
          <w:color w:val="000000"/>
        </w:rPr>
        <w:t xml:space="preserve"> </w:t>
      </w:r>
      <w:r>
        <w:rPr>
          <w:rFonts w:ascii="Times New Roman;sans-serif" w:hAnsi="Times New Roman;sans-serif"/>
          <w:b w:val="false"/>
          <w:color w:val="000000"/>
          <w:sz w:val="18"/>
        </w:rPr>
        <w:t>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and December 31, 2024, the Company’s contract transaction prices included approximately $155 million and $139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March 31, 2025 and December 31, 2024,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discussion below describes the effects of recent accounting pronouncements, as updated from the discussion in the Company’s 2024 Form 10-K.</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In August 2023, the FASB issued ASU 2023-05, </w:t>
      </w:r>
      <w:r>
        <w:rPr>
          <w:rFonts w:ascii="Times New Roman;sans-serif" w:hAnsi="Times New Roman;sans-serif"/>
          <w:b w:val="false"/>
          <w:i/>
          <w:color w:val="000000"/>
          <w:sz w:val="18"/>
        </w:rPr>
        <w:t>Business Combinations—Joint Venture Formations (Subtopic 805-60): Recognition and Initial Measurement</w:t>
      </w:r>
      <w:r>
        <w:rPr>
          <w:color w:val="000000"/>
        </w:rPr>
        <w:t xml:space="preserve"> </w:t>
      </w:r>
      <w:r>
        <w:rPr>
          <w:rFonts w:ascii="Times New Roman;sans-serif" w:hAnsi="Times New Roman;sans-serif"/>
          <w:b w:val="false"/>
          <w:color w:val="000000"/>
          <w:sz w:val="18"/>
        </w:rPr>
        <w:t>(“ASU 2023-05”) to clarify existing guidance and reduce diversity in practice in the accounting for joint ventures. ASU 2023-05 addressed the accounting for contributions made to a joint venture upon formation in a joint venture’s separate financial statements. The provisions of this ASU required that a joint venture initially measure all contributions received upon its formation at fair value, largely consistent with Topic 805, Business Combinations. The amendments in this ASU were not applicable to the formation of proportionately consolidated joint ventures. ASU 2023-05 was effective prospectively for all joint ventures with a formation date on or after January 1, 2025, with early adoption permitted on a retrospective basis for joint ventures formed before January 1, 2025. The prospective adoption of this ASU did not have a material effect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In December 2023, the FASB issued ASU 2023-09, </w:t>
      </w:r>
      <w:r>
        <w:rPr>
          <w:rFonts w:ascii="Times New Roman;sans-serif" w:hAnsi="Times New Roman;sans-serif"/>
          <w:b w:val="false"/>
          <w:i/>
          <w:color w:val="000000"/>
          <w:sz w:val="18"/>
        </w:rPr>
        <w:t>Income Taxes (Topic 740): Improvements to Income Tax Disclosures</w:t>
      </w:r>
      <w:r>
        <w:rPr>
          <w:color w:val="000000"/>
        </w:rPr>
        <w:t xml:space="preserve"> </w:t>
      </w:r>
      <w:r>
        <w:rPr>
          <w:rFonts w:ascii="Times New Roman;sans-serif" w:hAnsi="Times New Roman;sans-serif"/>
          <w:b w:val="false"/>
          <w:color w:val="000000"/>
          <w:sz w:val="18"/>
        </w:rPr>
        <w:t>(“ASU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is currently evaluating the effects of this ASU on its income tax disclosures.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In March 2024, the Securities and Exchange Commission (the “SEC”) adopted final rules under SEC Release No. 33-11275, </w:t>
      </w:r>
      <w:r>
        <w:rPr>
          <w:rFonts w:ascii="Times New Roman;sans-serif" w:hAnsi="Times New Roman;sans-serif"/>
          <w:b w:val="false"/>
          <w:i/>
          <w:color w:val="000000"/>
          <w:sz w:val="18"/>
        </w:rPr>
        <w:t>The Enhancement and Standardization of Climate-Related Disclosures for Investors</w:t>
      </w:r>
      <w:r>
        <w:rPr>
          <w:rFonts w:ascii="Times New Roman;sans-serif" w:hAnsi="Times New Roman;sans-serif"/>
          <w:b w:val="false"/>
          <w:color w:val="000000"/>
          <w:sz w:val="18"/>
        </w:rPr>
        <w:t>, which requires registrants to provide certain climate-related disclosures in registration statements and annual reports. The new rules were scheduled to begin to phase in for fiscal years beginning on or after January 1, 2025, on a prospective basis. In April 2024, the SEC voluntarily stayed implementation of the final rules pending certain legal challenges to the rules. In March 2025, the SEC stated that it had ended its defense of the rules requiring disclosure of climate-related risks and greenhouse gas emissions. The Company is currently monitoring developments related to the rules.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In November 2024, the FASB issued ASU 2024-03, </w:t>
      </w:r>
      <w:r>
        <w:rPr>
          <w:rFonts w:ascii="Times New Roman;sans-serif" w:hAnsi="Times New Roman;sans-serif"/>
          <w:b w:val="false"/>
          <w:i/>
          <w:color w:val="000000"/>
          <w:sz w:val="18"/>
        </w:rPr>
        <w:t>Income Statement—Reporting Comprehensive Income—Expense Disaggregation Disclosures (Subtopic 220-40): Disaggregation of Income Statement Expenses</w:t>
      </w:r>
      <w:r>
        <w:rPr>
          <w:color w:val="000000"/>
        </w:rPr>
        <w:t xml:space="preserve"> </w:t>
      </w:r>
      <w:r>
        <w:rPr>
          <w:rFonts w:ascii="Times New Roman;sans-serif" w:hAnsi="Times New Roman;sans-serif"/>
          <w:b w:val="false"/>
          <w:color w:val="000000"/>
          <w:sz w:val="18"/>
        </w:rPr>
        <w:t xml:space="preserve">(“ASU 2024-03”) to enhance the transparency and clarity of the components of specific expense categories in the income statement. ASU 2024-03 requires disclosure of additional information about specific expense categories underlying certain income statement expense line items. In January 2025, the FASB issued ASU 2025-01, </w:t>
      </w:r>
      <w:r>
        <w:rPr>
          <w:rFonts w:ascii="Times New Roman;sans-serif" w:hAnsi="Times New Roman;sans-serif"/>
          <w:b w:val="false"/>
          <w:i/>
          <w:color w:val="000000"/>
          <w:sz w:val="18"/>
        </w:rPr>
        <w:t>Income Statement—Reporting Comprehensive Income—Expense Disaggregation Disclosures (Subtopic 220-40): Disaggregation of Income Statement Expenses: Clarifying the Effective Date</w:t>
      </w:r>
      <w:r>
        <w:rPr>
          <w:color w:val="000000"/>
        </w:rPr>
        <w:t xml:space="preserve"> </w:t>
      </w:r>
      <w:r>
        <w:rPr>
          <w:rFonts w:ascii="Times New Roman;sans-serif" w:hAnsi="Times New Roman;sans-serif"/>
          <w:b w:val="false"/>
          <w:color w:val="000000"/>
          <w:sz w:val="18"/>
        </w:rPr>
        <w:t>to clarify that all public business entities are required to adopt the guidance in annual periods 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standard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2 – Earnings Per Share</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underlying the Company’s earnings per share calculations for the periods indicated (in thousands):</w:t>
      </w:r>
    </w:p>
    <w:tbl>
      <w:tblPr>
        <w:tblW w:w="6478" w:type="dxa"/>
        <w:jc w:val="left"/>
        <w:tblInd w:w="0" w:type="dxa"/>
        <w:tblLayout w:type="fixed"/>
        <w:tblCellMar>
          <w:top w:w="28" w:type="dxa"/>
          <w:left w:w="28" w:type="dxa"/>
          <w:bottom w:w="28" w:type="dxa"/>
          <w:right w:w="28" w:type="dxa"/>
        </w:tblCellMar>
      </w:tblPr>
      <w:tblGrid>
        <w:gridCol w:w="1221"/>
        <w:gridCol w:w="1074"/>
        <w:gridCol w:w="1079"/>
        <w:gridCol w:w="232"/>
        <w:gridCol w:w="659"/>
        <w:gridCol w:w="129"/>
        <w:gridCol w:w="129"/>
        <w:gridCol w:w="129"/>
        <w:gridCol w:w="129"/>
        <w:gridCol w:w="232"/>
        <w:gridCol w:w="855"/>
        <w:gridCol w:w="12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MasTec:</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 basic and diluted</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Dilutive common stock equivalents </w:t>
            </w:r>
            <w:r>
              <w:rPr>
                <w:rFonts w:ascii="Times New Roman;sans-serif" w:hAnsi="Times New Roman;sans-serif"/>
                <w:b w:val="false"/>
                <w:color w:val="000000"/>
                <w:sz w:val="12"/>
              </w:rPr>
              <w:t>(a)</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8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79,052 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For the three month periods ended March 31, 2025 and 2024, anti-dilutive common stock equivalents totaled approximately 55,000 and 727,000, respectively.</w:t>
      </w:r>
    </w:p>
    <w:p>
      <w:pPr>
        <w:pStyle w:val="TextBody"/>
        <w:bidi w:val="0"/>
        <w:spacing w:lineRule="auto" w:line="288" w:before="180" w:after="120"/>
        <w:ind w:left="0" w:right="0" w:firstLine="720"/>
        <w:jc w:val="both"/>
        <w:rPr/>
      </w:pPr>
      <w:r>
        <w:rPr>
          <w:rFonts w:ascii="Times New Roman;sans-serif" w:hAnsi="Times New Roman;sans-serif"/>
          <w:b/>
          <w:i/>
          <w:color w:val="000000"/>
          <w:sz w:val="18"/>
        </w:rPr>
        <w:t>Share Repurchases.</w:t>
      </w:r>
      <w:r>
        <w:rPr>
          <w:color w:val="000000"/>
        </w:rPr>
        <w:t xml:space="preserve"> </w:t>
      </w:r>
      <w:r>
        <w:rPr>
          <w:rFonts w:ascii="Times New Roman;sans-serif" w:hAnsi="Times New Roman;sans-serif"/>
          <w:b w:val="false"/>
          <w:color w:val="000000"/>
          <w:sz w:val="18"/>
        </w:rPr>
        <w:t>For the three month period ended March 31, 2025, the Company repurchased 332,565 shares of its common stock, the effect of which on the Company’s weighted average shares outstanding for the related period was minimal. There were no share repurchases for the three month period ended March 31, 2024. See Note 9 – Equity for details of the Company’s share repurchase transactions, including activity subsequent to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3 – Acquisitions, Goodwill and Other Intangible Assets, Net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goodwill by reportable segment for the period indicated (in millions):</w:t>
      </w:r>
    </w:p>
    <w:tbl>
      <w:tblPr>
        <w:tblW w:w="10205" w:type="dxa"/>
        <w:jc w:val="left"/>
        <w:tblInd w:w="0" w:type="dxa"/>
        <w:tblLayout w:type="fixed"/>
        <w:tblCellMar>
          <w:top w:w="28" w:type="dxa"/>
          <w:left w:w="28" w:type="dxa"/>
          <w:bottom w:w="28" w:type="dxa"/>
          <w:right w:w="28" w:type="dxa"/>
        </w:tblCellMar>
      </w:tblPr>
      <w:tblGrid>
        <w:gridCol w:w="696"/>
        <w:gridCol w:w="613"/>
        <w:gridCol w:w="615"/>
        <w:gridCol w:w="324"/>
        <w:gridCol w:w="920"/>
        <w:gridCol w:w="182"/>
        <w:gridCol w:w="109"/>
        <w:gridCol w:w="109"/>
        <w:gridCol w:w="109"/>
        <w:gridCol w:w="394"/>
        <w:gridCol w:w="1123"/>
        <w:gridCol w:w="221"/>
        <w:gridCol w:w="109"/>
        <w:gridCol w:w="109"/>
        <w:gridCol w:w="109"/>
        <w:gridCol w:w="229"/>
        <w:gridCol w:w="649"/>
        <w:gridCol w:w="127"/>
        <w:gridCol w:w="109"/>
        <w:gridCol w:w="109"/>
        <w:gridCol w:w="109"/>
        <w:gridCol w:w="329"/>
        <w:gridCol w:w="936"/>
        <w:gridCol w:w="184"/>
        <w:gridCol w:w="109"/>
        <w:gridCol w:w="109"/>
        <w:gridCol w:w="109"/>
        <w:gridCol w:w="213"/>
        <w:gridCol w:w="754"/>
        <w:gridCol w:w="118"/>
        <w:gridCol w:w="109"/>
        <w:gridCol w:w="161"/>
      </w:tblGrid>
      <w:tr>
        <w:trPr/>
        <w:tc>
          <w:tcPr>
            <w:tcW w:w="6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Goodwill</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Goodwill, gross, as of December 31, 2024 </w:t>
            </w:r>
            <w:r>
              <w:rPr>
                <w:rFonts w:ascii="Times New Roman;sans-serif" w:hAnsi="Times New Roman;sans-serif"/>
                <w:b w:val="false"/>
                <w:color w:val="000000"/>
                <w:sz w:val="12"/>
              </w:rPr>
              <w:t>(a)</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Accumulated impairment loss </w:t>
            </w:r>
            <w:r>
              <w:rPr>
                <w:rFonts w:ascii="Times New Roman;sans-serif" w:hAnsi="Times New Roman;sans-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Goodwill, net, as of December 31, 2024 </w:t>
            </w:r>
            <w:r>
              <w:rPr>
                <w:rFonts w:ascii="Times New Roman;sans-serif" w:hAnsi="Times New Roman;sans-serif"/>
                <w:b w:val="false"/>
                <w:color w:val="000000"/>
                <w:sz w:val="12"/>
              </w:rPr>
              <w:t>(a)</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Measurement period adjustments </w:t>
            </w:r>
            <w:r>
              <w:rPr>
                <w:rFonts w:ascii="Times New Roman;sans-serif" w:hAnsi="Times New Roman;sans-serif"/>
                <w:b w:val="false"/>
                <w:color w:val="000000"/>
                <w:sz w:val="12"/>
              </w:rPr>
              <w:t>(c)</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2025</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742.3 </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518.9 </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2,204.9 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p>
      <w:pPr>
        <w:pStyle w:val="TextBody"/>
        <w:bidi w:val="0"/>
        <w:spacing w:lineRule="auto" w:line="288" w:before="4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    Accumulated impairment loss includes the effects of currency translation gains and/or losses.</w:t>
      </w:r>
    </w:p>
    <w:p>
      <w:pPr>
        <w:pStyle w:val="TextBody"/>
        <w:bidi w:val="0"/>
        <w:spacing w:lineRule="auto" w:line="288" w:before="4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    Measurement period adjustments represent adjustments, net, to preliminary estimates of fair value within the measurement period of up to one year from the date of acquisition.</w:t>
      </w:r>
    </w:p>
    <w:p>
      <w:pPr>
        <w:pStyle w:val="TextBody"/>
        <w:bidi w:val="0"/>
        <w:spacing w:lineRule="auto" w:line="288" w:before="18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other intangible assets, net, for the period indicated (in millions):</w:t>
      </w:r>
    </w:p>
    <w:tbl>
      <w:tblPr>
        <w:tblW w:w="10205" w:type="dxa"/>
        <w:jc w:val="left"/>
        <w:tblInd w:w="0" w:type="dxa"/>
        <w:tblLayout w:type="fixed"/>
        <w:tblCellMar>
          <w:top w:w="28" w:type="dxa"/>
          <w:left w:w="28" w:type="dxa"/>
          <w:bottom w:w="28" w:type="dxa"/>
          <w:right w:w="28" w:type="dxa"/>
        </w:tblCellMar>
      </w:tblPr>
      <w:tblGrid>
        <w:gridCol w:w="1311"/>
        <w:gridCol w:w="1154"/>
        <w:gridCol w:w="1158"/>
        <w:gridCol w:w="528"/>
        <w:gridCol w:w="1867"/>
        <w:gridCol w:w="295"/>
        <w:gridCol w:w="109"/>
        <w:gridCol w:w="109"/>
        <w:gridCol w:w="109"/>
        <w:gridCol w:w="249"/>
        <w:gridCol w:w="708"/>
        <w:gridCol w:w="138"/>
        <w:gridCol w:w="109"/>
        <w:gridCol w:w="109"/>
        <w:gridCol w:w="109"/>
        <w:gridCol w:w="196"/>
        <w:gridCol w:w="466"/>
        <w:gridCol w:w="109"/>
        <w:gridCol w:w="109"/>
        <w:gridCol w:w="109"/>
        <w:gridCol w:w="109"/>
        <w:gridCol w:w="196"/>
        <w:gridCol w:w="691"/>
        <w:gridCol w:w="158"/>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Intangible Assets, Net</w:t>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Customer Relationships and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Trade Names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Other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gross, as of December 31, 2024</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2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December 31, 2024</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2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2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March 31, 2025</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507.9 </w:t>
            </w:r>
          </w:p>
        </w:tc>
        <w:tc>
          <w:tcPr>
            <w:tcW w:w="2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(a)Consists principally of pre-qualifications and non-compete agreements.</w:t>
      </w:r>
    </w:p>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first quarter of 2025, certain reporting units within the Communications and Power Delivery operating segments were restructured to more closely align with the segment’s end markets and to better correspond with the operational management reporting structure of both segments. Under both the current and previous reporting unit structures, each of the components within the Communications and Power Delivery operating segments is a reporting unit. Management performed testing under both the current and previous reporting unit structures. For the tested reporting units, management estimated their fair values using a combination of market and income approaches using Level 3 inputs. Under the market approach, fair values were estimated using published market multiples for comparable companies and applying them to revenue and earnings before interest, taxes, depreciation and amortization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respective industries and business models of the applicable reporting units. Estimated discount rates were determined using the weighted average cost of capital for each reporting unit at the time of the analysis, taking into consideration the risks inherent within each reporting unit individually.</w:t>
      </w:r>
    </w:p>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Based on the results of the quantitative assessments, the estimated fair values of all the impacted reporting units substantially exceeded their carrying values, therefore no goodwill impairment existed. A 100 basis point increase in the discount rate would not have resulted in any of the tested reporting units’ carrying values exceeding their fair values.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no events occurred during the three month period ended March 31, 2025 that would indicate it was more likely than not that a goodwill impairment exists. Significant changes in the assumptions or estimates used in management’s assessment, such as a reduction in profitability and/or cash flows, changes in market, regulatory or other conditions, including decreases in project activity levels and/or the effects of elevated levels of inflation, market interest rates or other market disruptions, including from geopolitical or other events, could result in non-cash impairment charges to goodwill in the future.</w:t>
      </w:r>
    </w:p>
    <w:p>
      <w:pPr>
        <w:pStyle w:val="TextBody"/>
        <w:bidi w:val="0"/>
        <w:spacing w:lineRule="auto" w:line="288" w:before="120" w:after="120"/>
        <w:ind w:left="0" w:right="0" w:firstLine="360"/>
        <w:jc w:val="left"/>
        <w:rPr>
          <w:rFonts w:ascii="Times New Roman;sans-serif" w:hAnsi="Times New Roman;sans-serif"/>
          <w:b/>
          <w:i/>
          <w:color w:val="000000"/>
          <w:sz w:val="18"/>
        </w:rPr>
      </w:pPr>
      <w:r>
        <w:rPr>
          <w:rFonts w:ascii="Times New Roman;sans-serif" w:hAnsi="Times New Roman;sans-serif"/>
          <w:b/>
          <w:i/>
          <w:color w:val="000000"/>
          <w:sz w:val="18"/>
        </w:rPr>
        <w:t>Recent Acquisitions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ans-serif" w:hAnsi="Times New Roman;sans-serif"/>
          <w:b/>
          <w:i/>
          <w:color w:val="26282A"/>
          <w:sz w:val="18"/>
        </w:rPr>
        <w:t xml:space="preserve">2024 Acquisitions. </w:t>
      </w:r>
      <w:r>
        <w:rPr>
          <w:rFonts w:ascii="Times New Roman;sans-serif" w:hAnsi="Times New Roman;sans-serif"/>
          <w:b w:val="false"/>
          <w:color w:val="26282A"/>
          <w:sz w:val="18"/>
        </w:rPr>
        <w:t xml:space="preserve">During 2024, MasTec completed </w:t>
      </w:r>
      <w:r>
        <w:rPr>
          <w:rFonts w:ascii="Times New Roman;sans-serif" w:hAnsi="Times New Roman;sans-serif"/>
          <w:b w:val="false"/>
          <w:color w:val="000000"/>
          <w:sz w:val="18"/>
        </w:rPr>
        <w:t>three acquisitions, which included all of the equity interests of a construction company focused on underground utility infrastructure for industrial and municipal projects, with expertise in data center utility systems, which acquisition is included within the Company’s Power Delivery segment, and was effective in July; the acquisition of certain operations of a heavy civil contractor specializing in transportation projects, which acquisition is included within the Company’s Clean Energy and Infrastructure segment and was effective in October; and effective in December, the acquisition of the equity interests of a company focused on pipeline infrastructure and heavy civil projects, which acquisition is included within the Company’s Pipeline Infrastructure segment. The Company expects these acquisitions will increase its service offerings and further advance its ability to meet increasing demand for data center infrastructure, in addition to expanding its heavy civil and pipeline infrastructure operations.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purchase price of the Company’s 2024 acquisitions was composed of approximately $84 million in cash, net of cash acquired, and a five year earn-out liability valued at approximately $56 million with respect to one of such acquisitions. In connection with the acquisition within the Company’s Pipeline Infrastructure segment, MasTec acquired 60% of the equity interest of the company in exchange for consideration transferred of cash and a 40% equity interest in a MasTec Canadian subsidiary. Determination of the estimated fair values of net assets acquired and consideration transferred for these acquisitions, which have been accounted for as business combinations under ASC Topic 805, Business Combinations (“ASC 805”), was preliminary as of March 31, 2025; as a result, further adjustments to these estimates may occur. The Company expects to finalize the valuation and complete the purchase price consideration allocation no later than one year from the acquisition date. As of March 31, 2025, the remaining potential undiscounted earn-out liabilities for the 2024 acquisitions was estimated to be between $12 million and $60 million; however, there is no maximum payment amount. See Note 4 – Fair Value of Financial Instruments for fair value estimates and other details related to the Company’s earn-out arrangements. Approximately $56 million of the goodwill balance related to the 2024 acquisitions is expected to be tax deductible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4 – Fair Value of Financial Instruments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Acquisition-Related Contingent Consideration</w:t>
      </w:r>
    </w:p>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10.0% as of March 31, 2025,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March 31, 2025, the range of potential undiscounted Earn-out liabilities was estimated to be between $35 million and $125 million; however, there is no maximum payment amount.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Earn-out activity consists primarily of additions from new business combinations; changes in the expected fair value of future payment obligations; and payments. The following table provides a reconciliation of changes in Earn-out liabilities measured at fair value for the periods indicated (in millions):</w:t>
      </w:r>
    </w:p>
    <w:tbl>
      <w:tblPr>
        <w:tblW w:w="5804" w:type="dxa"/>
        <w:jc w:val="left"/>
        <w:tblInd w:w="0" w:type="dxa"/>
        <w:tblLayout w:type="fixed"/>
        <w:tblCellMar>
          <w:top w:w="28" w:type="dxa"/>
          <w:left w:w="28" w:type="dxa"/>
          <w:bottom w:w="28" w:type="dxa"/>
          <w:right w:w="28" w:type="dxa"/>
        </w:tblCellMar>
      </w:tblPr>
      <w:tblGrid>
        <w:gridCol w:w="977"/>
        <w:gridCol w:w="860"/>
        <w:gridCol w:w="863"/>
        <w:gridCol w:w="262"/>
        <w:gridCol w:w="745"/>
        <w:gridCol w:w="146"/>
        <w:gridCol w:w="146"/>
        <w:gridCol w:w="146"/>
        <w:gridCol w:w="146"/>
        <w:gridCol w:w="262"/>
        <w:gridCol w:w="624"/>
        <w:gridCol w:w="146"/>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as of beginning of period </w:t>
            </w:r>
            <w:r>
              <w:rPr>
                <w:rFonts w:ascii="Times New Roman;sans-serif" w:hAnsi="Times New Roman;sans-serif"/>
                <w:b w:val="false"/>
                <w:color w:val="000000"/>
                <w:sz w:val="12"/>
              </w:rPr>
              <w:t>(a)</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Fair value adjustments</w:t>
            </w:r>
            <w:r>
              <w:rPr>
                <w:color w:val="000000"/>
              </w:rPr>
              <w:t xml:space="preserve"> </w:t>
            </w:r>
            <w:r>
              <w:rPr>
                <w:rFonts w:ascii="Times New Roman;sans-serif" w:hAnsi="Times New Roman;sans-serif"/>
                <w:b w:val="false"/>
                <w:color w:val="000000"/>
                <w:sz w:val="12"/>
              </w:rPr>
              <w:t>(b)</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as of end of period </w:t>
            </w:r>
            <w:r>
              <w:rPr>
                <w:rFonts w:ascii="Times New Roman;sans-serif" w:hAnsi="Times New Roman;sans-serif"/>
                <w:b w:val="false"/>
                <w:color w:val="000000"/>
                <w:sz w:val="12"/>
              </w:rPr>
              <w:t>(a)</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pPr>
      <w:r>
        <w:rPr>
          <w:rFonts w:ascii="Times New Roman;sans-serif" w:hAnsi="Times New Roman;sans-serif"/>
          <w:b w:val="false"/>
          <w:color w:val="26282A"/>
          <w:sz w:val="16"/>
        </w:rPr>
        <w:t>(a)</w:t>
      </w:r>
      <w:r>
        <w:rPr>
          <w:rFonts w:ascii="Times New Roman;sans-serif" w:hAnsi="Times New Roman;sans-serif"/>
          <w:b w:val="false"/>
          <w:color w:val="000000"/>
          <w:sz w:val="16"/>
        </w:rPr>
        <w:t>Earn-out liabilities included within other current liabilities totaled approximately $61.0 million and $70.0 million as of March 31, 2025 and December 31, 2024, respectively.</w:t>
      </w:r>
    </w:p>
    <w:p>
      <w:pPr>
        <w:pStyle w:val="TextBody"/>
        <w:bidi w:val="0"/>
        <w:spacing w:lineRule="auto" w:line="28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(b)For the three month period ended March 31, 2025, fair value adjustments related primarily to increases within the Company’s Clean Energy and Infrastructure and Pipeline Infrastructure segments, which were partially offset by decreases related to acquisitions within the Company’s Power Delivery segment. For the three month period ended March 31, 2024, such adjustments related primarily to acquisitions within the Company’s Communications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Equity Investments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equity investments as of March 31, 2025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and December 31, 2024, the aggregate carrying value of the Company’s equity investments totaled approximately $331 million and $330 million, respectively. There were no impairments related to these investments in either of the three month periods ended March 31, 2025 or 2024.</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The Waha JVs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Waha JVs own and operate certain pipeline infrastructure that transports natural gas to the Mexican border for export. The Company’s investments in the Waha JVs are accounted for as equity method investments. Cumulative undistributed earnings from the Waha JVs, which represents cumulative equity in earnings for the Waha JVs less distributions of earnings, totaled $142.8 million as of March 31, 2025. The Company’s net investment in the Waha JVs, which differs from its proportionate share of the net assets of the Waha JVs due primarily to equity method goodwill associated with capitalized investment costs, totaled approximately $289 million and $287 million as of March 31, 2025 and December 31, 2024, respectively. The table below reflects the investment activity of the Waha JVs for the periods indicated (in millions):</w:t>
      </w:r>
    </w:p>
    <w:tbl>
      <w:tblPr>
        <w:tblW w:w="5187" w:type="dxa"/>
        <w:jc w:val="left"/>
        <w:tblInd w:w="0" w:type="dxa"/>
        <w:tblLayout w:type="fixed"/>
        <w:tblCellMar>
          <w:top w:w="28" w:type="dxa"/>
          <w:left w:w="28" w:type="dxa"/>
          <w:bottom w:w="28" w:type="dxa"/>
          <w:right w:w="28" w:type="dxa"/>
        </w:tblCellMar>
      </w:tblPr>
      <w:tblGrid>
        <w:gridCol w:w="755"/>
        <w:gridCol w:w="662"/>
        <w:gridCol w:w="668"/>
        <w:gridCol w:w="304"/>
        <w:gridCol w:w="584"/>
        <w:gridCol w:w="169"/>
        <w:gridCol w:w="169"/>
        <w:gridCol w:w="169"/>
        <w:gridCol w:w="169"/>
        <w:gridCol w:w="304"/>
        <w:gridCol w:w="584"/>
        <w:gridCol w:w="169"/>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Equity in earnings </w:t>
            </w:r>
            <w:r>
              <w:rPr>
                <w:rFonts w:ascii="Times New Roman;sans-serif" w:hAnsi="Times New Roman;sans-serif"/>
                <w:b w:val="false"/>
                <w:color w:val="000000"/>
                <w:sz w:val="12"/>
              </w:rPr>
              <w:t>(a)</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Distributions of earnings </w:t>
            </w:r>
            <w:r>
              <w:rPr>
                <w:rFonts w:ascii="Times New Roman;sans-serif" w:hAnsi="Times New Roman;sans-serif"/>
                <w:b w:val="false"/>
                <w:color w:val="000000"/>
                <w:sz w:val="12"/>
              </w:rPr>
              <w:t>(b)</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(a)Equity in earnings related to the Company’s proportionate share of income from the Waha JVs is included within the Company’s Other segment.</w:t>
      </w:r>
    </w:p>
    <w:p>
      <w:pPr>
        <w:pStyle w:val="TextBody"/>
        <w:bidi w:val="0"/>
        <w:spacing w:lineRule="auto" w:line="288" w:before="4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(b)Distributions of earnings from the Waha JVs are included within operating cash flows.</w:t>
      </w:r>
    </w:p>
    <w:p>
      <w:pPr>
        <w:pStyle w:val="TextBody"/>
        <w:bidi w:val="0"/>
        <w:spacing w:lineRule="auto" w:line="288" w:before="180" w:after="120"/>
        <w:ind w:left="0" w:right="0" w:firstLine="720"/>
        <w:jc w:val="both"/>
        <w:rPr/>
      </w:pPr>
      <w:r>
        <w:rPr>
          <w:rFonts w:ascii="Times New Roman;sans-serif" w:hAnsi="Times New Roman;sans-serif"/>
          <w:b/>
          <w:i/>
          <w:color w:val="000000"/>
          <w:sz w:val="18"/>
        </w:rPr>
        <w:t>Other Investments.</w:t>
      </w:r>
      <w:r>
        <w:rPr>
          <w:color w:val="000000"/>
        </w:rPr>
        <w:t xml:space="preserve"> </w:t>
      </w:r>
      <w:r>
        <w:rPr>
          <w:rFonts w:ascii="Times New Roman;sans-serif" w:hAnsi="Times New Roman;sans-serif"/>
          <w:b w:val="false"/>
          <w:color w:val="000000"/>
          <w:sz w:val="18"/>
        </w:rPr>
        <w:t>The Company has equity interests in certain other entities that are accounted for as equity method investments. The Company made no equity contributions to these other entities for the three month period ended March 31, 2025, and made equity contributions of approximately $0.1 million for the three month period ended March 31, 2024. The Company has subcontracting arrangements with certain of these entities for the performance of construction services, and expenses recognized in connection with these arrangements totaled approximately $1.3 million and $1.2 million for the three month periods ended March 31, 2025 and 2024, respectively. As of both March 31, 2025 and December 31, 2024, related amounts payable to these entities totaled approximately $0.3 million. In addition, the Company advanced approximately $0.1 million to certain of these entities in the first quarter of 2024. As of both March 31, 2025 and December 31, 2024, receivables related to these arrangements totaled approximately $4.1 million.</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Variable Interest Entities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Company has determined that certain of its investment arrangements are variable interest entities (“VIEs”). Management assesses its VIEs on an ongoing basis to determine if the Company is the primary beneficiary and if consolidation is required. As of March 31, 2025, management determined that the Company is the primary beneficiary of two of its VIEs, and accordingly, has consolidated these entities within the Company’s financial statements, with the other parties’ interests accounted for as non-controlling interests.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consolidated VIEs include an electric utility contractor in which the Company acquired a 49% interest in the first quarter of 2024. As of March 31, 2025 and December 31, 2024, the carrying values of assets associated with the Company’s consolidated VIEs totaled approximately $134.4 million and $134.8 million, respectively, which amounts consisted primarily of accounts receivable, net of allowance and contract assets. The carrying values of liabilities associated with the Company’s consolidated VIEs totaled approximately $131.9 million and $132.8 million as of March 31, 2025 and December 31, 2024, respectively, which amounts consisted primarily of accounts payable. The Company has not provided, nor is it obligated to provide, any financial support to any of its consolidated VIEs.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carrying values of the Company’s VIEs that are not consolidated totaled approximately $22 million and $23 million as of March 31, 2025 and December 31, 2024, respectively, which amounts are recorded within other long-term assets in the consolidated balance sheets. Management believes that the Company’s maximum exposure to loss for its non-consolidated VIEs, inclusive of additional financing commitments, approximated $27 million and $34 million as of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5 – Accounts Receivable, Net of Allowance, and Contract Assets and Liabilities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accounts receivable, net of allowance, and contract assets (together, “accounts receivable, net”) as of the periods indicated (in millions):</w:t>
      </w:r>
    </w:p>
    <w:tbl>
      <w:tblPr>
        <w:tblW w:w="5298" w:type="dxa"/>
        <w:jc w:val="left"/>
        <w:tblInd w:w="0" w:type="dxa"/>
        <w:tblLayout w:type="fixed"/>
        <w:tblCellMar>
          <w:top w:w="28" w:type="dxa"/>
          <w:left w:w="28" w:type="dxa"/>
          <w:bottom w:w="28" w:type="dxa"/>
          <w:right w:w="28" w:type="dxa"/>
        </w:tblCellMar>
      </w:tblPr>
      <w:tblGrid>
        <w:gridCol w:w="1010"/>
        <w:gridCol w:w="887"/>
        <w:gridCol w:w="893"/>
        <w:gridCol w:w="196"/>
        <w:gridCol w:w="691"/>
        <w:gridCol w:w="109"/>
        <w:gridCol w:w="109"/>
        <w:gridCol w:w="109"/>
        <w:gridCol w:w="109"/>
        <w:gridCol w:w="223"/>
        <w:gridCol w:w="787"/>
        <w:gridCol w:w="175"/>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billings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For the three month period ended March 31, 2025, provisions for credit losses totaled a recovery of approximately $0.7 million and for the three month period ended March 31, 2024, provisions for credit losses totaled approximately $5.2 million, both of which included certain project-specific reserves. Impairment losses on contract assets were not material in either period.</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liabilities, which are generally classified within current liabilities on the Company’s consolidated balance sheets,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$766.2 million and $735.6 million as of March 31, 2025 and December 31, 2024, respectively, of which deferred revenue comprised approximately $753.5 million and $725.1 million, respectively. For the three month periods ended March 31, 2025 and 2024, the Company recognized revenue of approximately $493.8 million and $292.1 million, respectively, related to amounts that were included in deferred revenue as of the end of each respective prior year, resulting primarily from the advancement of physical progress on the related projects during the respective periods.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three month periods ended March 31, 2025 and 2024, the Company sold approximately $104 million and $98 million, respectively, of receivables under financing arrangements for which it continues to manage collections for the transferred receivable, and, as of March 31, 2025 and December 31, 2024, outstanding sold receivables related thereto totaled approximately $102 million and $84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Transfers and Servicing.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$5.3 million and $5.1 million for the three month periods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6 – Debt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the carrying values of debt as of the periods indicated (in millions):</w:t>
      </w:r>
    </w:p>
    <w:tbl>
      <w:tblPr>
        <w:tblW w:w="6836"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479"/>
        <w:gridCol w:w="479"/>
        <w:gridCol w:w="481"/>
        <w:gridCol w:w="109"/>
        <w:gridCol w:w="109"/>
        <w:gridCol w:w="109"/>
        <w:gridCol w:w="196"/>
        <w:gridCol w:w="691"/>
        <w:gridCol w:w="109"/>
        <w:gridCol w:w="109"/>
        <w:gridCol w:w="109"/>
        <w:gridCol w:w="109"/>
        <w:gridCol w:w="223"/>
        <w:gridCol w:w="787"/>
        <w:gridCol w:w="175"/>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5.900%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6.625%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Five-Year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7,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0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and 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2,038.0 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shd w:fill="FFFFFF" w:val="clear"/>
        </w:rPr>
        <w:t>The Company maintai</w:t>
      </w:r>
      <w:r>
        <w:rPr>
          <w:rFonts w:ascii="Times New Roman;sans-serif" w:hAnsi="Times New Roman;sans-serif"/>
          <w:b w:val="false"/>
          <w:color w:val="000000"/>
          <w:sz w:val="18"/>
        </w:rPr>
        <w:t>ns a $2.25 billion senior unsecured credit facility (the “Credit Facility”), which is composed of $1.9 billion of revolving commitments and a term loan with an original principal amount of $350.0 million (the “Term Loan”). The Term Loan is subject to amortization in quarterly principal installments of approximately $4.4 million until maturity, which quarterly installments increased from approximately $2.2 million in March 2025. Quarterly principal installments on the Term Loan are subject to adjustment, if applicabl</w:t>
      </w:r>
      <w:r>
        <w:rPr>
          <w:rFonts w:ascii="Times New Roman;sans-serif" w:hAnsi="Times New Roman;sans-serif"/>
          <w:b w:val="false"/>
          <w:color w:val="000000"/>
          <w:sz w:val="18"/>
          <w:shd w:fill="FFFFFF" w:val="clear"/>
        </w:rPr>
        <w:t>e, for certain prepayments. As of both March 31, 2025 and December 31, 2024, the fair values of the Credit Facility and Term Loan, as estimated based on an income approach utilizing significant unobservable Level 3 inputs including discount rate assumptions, approximated their carrying values.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A</w:t>
      </w:r>
      <w:r>
        <w:rPr>
          <w:rFonts w:ascii="Times New Roman;sans-serif" w:hAnsi="Times New Roman;sans-serif"/>
          <w:b w:val="false"/>
          <w:color w:val="000000"/>
          <w:sz w:val="18"/>
          <w:shd w:fill="FFFFFF" w:val="clear"/>
        </w:rPr>
        <w:t xml:space="preserve">s of March 31, 2025 and December 31, 2024, outstanding revolving loans, which included </w:t>
      </w:r>
      <w:r>
        <w:rPr>
          <w:rFonts w:ascii="Times New Roman;sans-serif" w:hAnsi="Times New Roman;sans-serif"/>
          <w:b w:val="false"/>
          <w:color w:val="000000"/>
          <w:sz w:val="18"/>
        </w:rPr>
        <w:t>$39.6 million and $43.1 million, respectively, of borrowings denominated in Canadian dollars, accrued interest at weighted average rates of approximately 4.30% and 4.97% per annum, respectively. The Term Loan accrued interest at rates of 5.68% and 6.22% as of March 31, 2025 and December 31, 2024, respectively. Letters of credit of approximately $49.2 million and $64.3 million were issued as of March 31, 2025 and December 31, 2024, respectively. As of March 31, 2025 and December 31, 2024, letter of credit fees accrued at 0.4375% and 0.5625% per annum, respectively, for performance standby letters of credit, and for financial standby letters of credit, accrued at 1.250% and 1.375% per annum, respectively. Outstanding letters of credit mature at various dates and most have automatic renewal provisions, subject to prior notice of cancellation.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As of March 31, 2025 and December 31, 2024, availability for revolving loans totaled $1,811.2 million and $1,792.6 million, respectively, or up to $600.8 million and $585.7 million, respectively, for new letters of credit. Revolving loan borrowing capacity included $260.4 million and $256.9 million of availability in either Canadian dollars or Mexican pesos as of </w:t>
      </w:r>
      <w:r>
        <w:rPr>
          <w:rFonts w:ascii="Times New Roman;sans-serif" w:hAnsi="Times New Roman;sans-serif"/>
          <w:b w:val="false"/>
          <w:color w:val="000000"/>
          <w:sz w:val="18"/>
          <w:shd w:fill="FFFFFF" w:val="clear"/>
        </w:rPr>
        <w:t>March 31, 2025 and December 31, 2024, respectively</w:t>
      </w:r>
      <w:r>
        <w:rPr>
          <w:rFonts w:ascii="Times New Roman;sans-serif" w:hAnsi="Times New Roman;sans-serif"/>
          <w:b w:val="false"/>
          <w:color w:val="000000"/>
          <w:sz w:val="18"/>
        </w:rPr>
        <w:t>. The unused facility fee as of March 31, 2025 and December 31, 2024 accrued at rates of 0.175% and 0.200% per annum, respectively.</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Other Credit Facilities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credit facilities that support the working capital requirements of its foreign operations and certain letter of credit issuances. There were no outstanding borrowings under the Company’s other credit facilities as of either March 31, 2025 or December 31, 2024. Additionally, the Company has a separate credit facility, under which it may issue up to $50.0 million of performance standby letters of credit.  As of March 31, 2025 and December 31, 2024, letters of credit issued under this facility totaled $29.5 million and $17.4 million, respectively, which accrued fees at 0.50% and 0.75% per annum, respectively.</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Senior Notes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both March 31, 2025 and December 31, 2024, the gross carrying amount of the Company’s 4.500% senior notes due August 15, 2028 (the “4.500% Senior Notes”) totaled $600.0 million, and their estimated fair value totaled approximately $585.5 million and $581.9 million, respectively. As of both March 31, 2025 and December 31, 2024, the gross carrying amount of the Company’s 5.900% senior notes due June 15, 2029 (the “5.900% Senior Notes”) totaled $550.0 million, and their estimated fair value totaled approximately $563.9 million and $558.8 million, respectively. As of March 31, 2025 and December 31, 2024, the gross carrying amount of the Company’s 6.625% senior notes due August 15, 2029 (the “6.625% Senior Notes”) totaled $71.8 million and $71.6 million, respectively, and their estimated fair value approximated their carrying value for both respective periods. As of March 31, 2025 and December 31, 2024, the estimated fair values of the Company’s senior notes were determined based on an exit price approach using Level 2 inputs.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Five-Year Term Loan Facility</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shd w:fill="FFFFFF" w:val="clear"/>
        </w:rPr>
        <w:t>As of March 31, 2025</w:t>
      </w:r>
      <w:r>
        <w:rPr>
          <w:rFonts w:ascii="Times New Roman;sans-serif" w:hAnsi="Times New Roman;sans-serif"/>
          <w:b w:val="false"/>
          <w:color w:val="000000"/>
          <w:sz w:val="18"/>
        </w:rPr>
        <w:t xml:space="preserve">, the Company had $281.3 million outstanding under an unsecured five-year term loan (the “Five-Year Term Loan”), for which the original principal amount totaled $300.0 million. The Five-Year Term Loan is subject to amortization in quarterly principal installments of approximately $3.75 million, which installments commenced on March 31, 2024 and will increase to $7.5 million on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pPr>
      <w:r>
        <w:rPr>
          <w:rFonts w:ascii="Times New Roman;sans-serif" w:hAnsi="Times New Roman;sans-serif"/>
          <w:b w:val="false"/>
          <w:color w:val="000000"/>
          <w:sz w:val="18"/>
        </w:rPr>
        <w:t>until maturity, subject to the application of certain prepayments. As of March 31, 2025 and December 31, 2024, the Five-Year Term Loan accrued interest at rates of 5.797% and 6.253%, respectively. The fair value of the Five-Year Term Loan a</w:t>
      </w:r>
      <w:r>
        <w:rPr>
          <w:rFonts w:ascii="Times New Roman;sans-serif" w:hAnsi="Times New Roman;sans-serif"/>
          <w:b w:val="false"/>
          <w:color w:val="000000"/>
          <w:sz w:val="18"/>
          <w:shd w:fill="FFFFFF" w:val="clear"/>
        </w:rPr>
        <w:t>s of both March 31, 2025 and December 31, 2024</w:t>
      </w:r>
      <w:r>
        <w:rPr>
          <w:rFonts w:ascii="Times New Roman;sans-serif" w:hAnsi="Times New Roman;sans-serif"/>
          <w:b w:val="false"/>
          <w:color w:val="000000"/>
          <w:sz w:val="18"/>
        </w:rPr>
        <w:t>, as estimated based on an income approach utilizing significant unobservable Level 3 inputs including discount rate assumptions, approximated its carrying value.</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Debt Covenants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was in compliance with the provisions and covenants of its outstanding debt instruments as of both March 31, 2025 and December 31, 2024.</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and December 31, 2024, accrued interest payable, which is recorded within other accrued expenses in the consolidated balance sheets, totaled $16.2 million and $20.8 million, respectively. For additional information pertaining to the Company’s debt instruments, see Note 7 – Debt in the Company’s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7 – Lease Obligations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enters into agreements that provide financing for machinery and equipment and for other of its facility, vehicle and equipment needs, including certain related party leases. As of March 31, 2025, the Company’s leases have remaining lease terms of up to 14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Finance Leases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gross amount of assets held under finance leases as of March 31, 2025 and December 31, 2024 totaled $751.0 million and $713.9 million, respectively. Assets held under finance leases, net of accumulated depreciation, totaled $505.3 million and $473.0 million as of March 31, 2025 and December 31, 2024, respectively. Depreciation expense associated with finance leases totaled $19.2 million and $24.2 million for the three month periods ended March 31, 2025 and 2024, respectively.</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Operating Leases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additions for the three month periods ended March 31, 2025 and 2024 totaled $48.9 million and $80.1 million, respectively. For the three month periods ended March 31, 2025 and 2024, rent expense for leases that have terms in excess of one year totaled approximately $51.3 million and $48.5 million, respectively, of which $5.0 million and $4.7 million, respectively, represented variable lease costs. The Company also incurred rent expense for leases with terms of one year or less totaling approximately $134.4 million and $135.6 million for the three month periods ended March 31, 2025 and 2024, respectively. Rent expense for operating leases is generally consistent with the amount of the related payments, which payments are included within operating activities in the consolidated statements of cash flows.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Lease Information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Future minimum lease commitments as of March 31, 2025 were as follows (in millions):</w:t>
      </w:r>
    </w:p>
    <w:tbl>
      <w:tblPr>
        <w:tblW w:w="6004" w:type="dxa"/>
        <w:jc w:val="left"/>
        <w:tblInd w:w="0" w:type="dxa"/>
        <w:tblLayout w:type="fixed"/>
        <w:tblCellMar>
          <w:top w:w="28" w:type="dxa"/>
          <w:left w:w="28" w:type="dxa"/>
          <w:bottom w:w="28" w:type="dxa"/>
          <w:right w:w="28" w:type="dxa"/>
        </w:tblCellMar>
      </w:tblPr>
      <w:tblGrid>
        <w:gridCol w:w="1407"/>
        <w:gridCol w:w="1233"/>
        <w:gridCol w:w="1245"/>
        <w:gridCol w:w="196"/>
        <w:gridCol w:w="556"/>
        <w:gridCol w:w="109"/>
        <w:gridCol w:w="109"/>
        <w:gridCol w:w="109"/>
        <w:gridCol w:w="109"/>
        <w:gridCol w:w="201"/>
        <w:gridCol w:w="571"/>
        <w:gridCol w:w="159"/>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Finance</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br/>
              <w:t>Leases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remaining nine months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weighted average remaining lease terms and discount rates for finance and non-cancelable operating leases as of the periods indicated:</w:t>
      </w:r>
    </w:p>
    <w:tbl>
      <w:tblPr>
        <w:tblW w:w="6339" w:type="dxa"/>
        <w:jc w:val="left"/>
        <w:tblInd w:w="0" w:type="dxa"/>
        <w:tblLayout w:type="fixed"/>
        <w:tblCellMar>
          <w:top w:w="28" w:type="dxa"/>
          <w:left w:w="28" w:type="dxa"/>
          <w:bottom w:w="28" w:type="dxa"/>
          <w:right w:w="28" w:type="dxa"/>
        </w:tblCellMar>
      </w:tblPr>
      <w:tblGrid>
        <w:gridCol w:w="1427"/>
        <w:gridCol w:w="1256"/>
        <w:gridCol w:w="1261"/>
        <w:gridCol w:w="202"/>
        <w:gridCol w:w="202"/>
        <w:gridCol w:w="480"/>
        <w:gridCol w:w="109"/>
        <w:gridCol w:w="109"/>
        <w:gridCol w:w="109"/>
        <w:gridCol w:w="248"/>
        <w:gridCol w:w="248"/>
        <w:gridCol w:w="688"/>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remaining lease term (in years):</w:t>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discount rate:</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8 – Stock-Based Compensation and Other Employee Benefit Plans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stock-based compensation plans, under which shares of the Company’s common stock are reserved for issuance. Under all stock-based compensation plans in effect as of March 31, 2025, there were approximately 4,043,000 shares available for future grant. Non-cash stock-based compensation expense under all plans totaled approximately $6.9 million and $9.7 million for the three month periods ended March 31, 2025 and 2024, respectively. Income tax benefits associated with stock-based compensation arrangements totaled $1.6 million and $1.9 million for the three month periods ended March 31, 2025 and 2024, respectively, including net tax benefits related to the vesting of share-based payment awards totaling $0.4 million and net tax shortfalls totaling $0.1 million for the respective periods.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Restricted Shares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March 31, 2025, total unearned compensation related to restricted shares was approximately $70.6 million, which amount is expected to be recognized over a weighted average period of approximately 2.4 years. The fair value of restricted shares that vested, which is based on the market price on the date of vesting, totaled approximately $20.8 million and $13.3 million for the three month periods ended March 31, 2025 and 2024, respectively. </w:t>
      </w:r>
    </w:p>
    <w:tbl>
      <w:tblPr>
        <w:tblW w:w="9682" w:type="dxa"/>
        <w:jc w:val="left"/>
        <w:tblInd w:w="0" w:type="dxa"/>
        <w:tblLayout w:type="fixed"/>
        <w:tblCellMar>
          <w:top w:w="28" w:type="dxa"/>
          <w:left w:w="28" w:type="dxa"/>
          <w:bottom w:w="28" w:type="dxa"/>
          <w:right w:w="28" w:type="dxa"/>
        </w:tblCellMar>
      </w:tblPr>
      <w:tblGrid>
        <w:gridCol w:w="1449"/>
        <w:gridCol w:w="1275"/>
        <w:gridCol w:w="1280"/>
        <w:gridCol w:w="435"/>
        <w:gridCol w:w="436"/>
        <w:gridCol w:w="311"/>
        <w:gridCol w:w="109"/>
        <w:gridCol w:w="109"/>
        <w:gridCol w:w="109"/>
        <w:gridCol w:w="902"/>
        <w:gridCol w:w="2559"/>
        <w:gridCol w:w="708"/>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Activity, restricted shares: </w:t>
            </w:r>
            <w:r>
              <w:rPr>
                <w:rFonts w:ascii="Times New Roman;sans-serif" w:hAnsi="Times New Roman;sans-serif"/>
                <w:b/>
                <w:color w:val="000000"/>
                <w:sz w:val="12"/>
              </w:rPr>
              <w:t>(a)</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Restricted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Per Share Weighted Average Grant Date Fair Value </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1,131,020 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75.48 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360,917 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119.09 </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(167,799)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111.87 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March 31, 2025</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1,297,840 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85.33 </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Includes 1,000 restricted stock units as of both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9 – Equity</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Share Repurchases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share repurchase program provides for the repurchase, from time to time, of MasTec common shares in open market transactions or in privately negotiated transactions in accordance with applicable securities laws. The Company’s share repurchase program does not have an expiration date and may be modified or suspended at any time at the Company’s discretion. For the three month period ended March 31, 2025, the Company repurchased 0.3 million shares of its common stock for an aggregate purchase price totaling $37.1 million, of which $10.2 million was settled in April 2025, under the Company’s March 2020 share repurchase program. There were no share repurchases under the Company’s share repurchase program for the three month period ended March 31, 2024. As of March 31, 2025, $40.3 million was available for future share repurchases under the Company’s March 2020 share repurchase program. Subsequent to March 31, 2025, the Company repurchased an additional 0.4 million shares of its common stock for an aggregate purchase price totaling $40.3 million, which completed the Company’s March 2020 share repurchase program. In addition, on May 1, 2025, the Company’s Board of Directors authorized a new $250 million share repurchase program (the “2025 Share Repurchases Program”), which has no expiration date.</w:t>
      </w:r>
    </w:p>
    <w:p>
      <w:pPr>
        <w:pStyle w:val="TextBody"/>
        <w:bidi w:val="0"/>
        <w:spacing w:lineRule="auto" w:line="288" w:before="120" w:after="120"/>
        <w:ind w:left="0" w:right="0" w:firstLine="360"/>
        <w:jc w:val="left"/>
        <w:rPr>
          <w:rFonts w:ascii="Times New Roman;sans-serif" w:hAnsi="Times New Roman;sans-serif"/>
          <w:b/>
          <w:i/>
          <w:color w:val="000000"/>
          <w:sz w:val="18"/>
        </w:rPr>
      </w:pPr>
      <w:r>
        <w:rPr>
          <w:rFonts w:ascii="Times New Roman;sans-serif" w:hAnsi="Times New Roman;sans-serif"/>
          <w:b/>
          <w:i/>
          <w:color w:val="000000"/>
          <w:sz w:val="18"/>
        </w:rPr>
        <w:t>Accumulated Other Comprehensive Loss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activity, net, for both the three month periods ended March 31, 2025 and 2024 relates primarily to the Company’s activities in Canada and Mexico. Other unrealized activity within accumulated comprehensive loss for both the three month periods ended March 31, 2025 and 2024 relates to unrealized investment gains or losses associated with interest rate swaps for the Waha JVs.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10 – Income Taxes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March 31, 2025 and 2024, the Company’s consolidated effective tax rates were (37.8)% and 24.3%, respectively. The Company’s effective tax rate for the three month period ended March 31, 2025 included an income tax benefit primarily due to the reversal of uncertain tax position liabilities related to a state audit, offset, in part, by an increase in income tax expense due to higher pre-tax income. For the three month period ended March 31, 2024, the Company’s effective tax rate included the effect of an increase in non-deductible expenses as compared with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11 – Segments and Related Information</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Segment Discussion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the first quarter of 2025, the Company made changes to its Communications segment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The segment data presented below have been recast for the historical periods to reflect these segment changes.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taxes, depreciation and amortization (“EBITDA”) is the measure of profitability used by the Company’s CODM to manage its segments and for segment reporting purposes.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which may contain slight summation differences due to rounding, reflect certain financial data for each reportable segment and have been recast as described above.</w:t>
      </w:r>
    </w:p>
    <w:tbl>
      <w:tblPr>
        <w:tblW w:w="10505" w:type="dxa"/>
        <w:jc w:val="left"/>
        <w:tblInd w:w="0" w:type="dxa"/>
        <w:tblLayout w:type="fixed"/>
        <w:tblCellMar>
          <w:top w:w="28" w:type="dxa"/>
          <w:left w:w="28" w:type="dxa"/>
          <w:bottom w:w="28" w:type="dxa"/>
          <w:right w:w="28" w:type="dxa"/>
        </w:tblCellMar>
      </w:tblPr>
      <w:tblGrid>
        <w:gridCol w:w="531"/>
        <w:gridCol w:w="229"/>
        <w:gridCol w:w="231"/>
        <w:gridCol w:w="324"/>
        <w:gridCol w:w="920"/>
        <w:gridCol w:w="182"/>
        <w:gridCol w:w="109"/>
        <w:gridCol w:w="109"/>
        <w:gridCol w:w="109"/>
        <w:gridCol w:w="276"/>
        <w:gridCol w:w="785"/>
        <w:gridCol w:w="155"/>
        <w:gridCol w:w="109"/>
        <w:gridCol w:w="109"/>
        <w:gridCol w:w="109"/>
        <w:gridCol w:w="196"/>
        <w:gridCol w:w="556"/>
        <w:gridCol w:w="109"/>
        <w:gridCol w:w="109"/>
        <w:gridCol w:w="109"/>
        <w:gridCol w:w="109"/>
        <w:gridCol w:w="276"/>
        <w:gridCol w:w="785"/>
        <w:gridCol w:w="155"/>
        <w:gridCol w:w="109"/>
        <w:gridCol w:w="109"/>
        <w:gridCol w:w="109"/>
        <w:gridCol w:w="196"/>
        <w:gridCol w:w="406"/>
        <w:gridCol w:w="109"/>
        <w:gridCol w:w="109"/>
        <w:gridCol w:w="109"/>
        <w:gridCol w:w="109"/>
        <w:gridCol w:w="297"/>
        <w:gridCol w:w="617"/>
        <w:gridCol w:w="167"/>
        <w:gridCol w:w="109"/>
        <w:gridCol w:w="109"/>
        <w:gridCol w:w="109"/>
        <w:gridCol w:w="196"/>
        <w:gridCol w:w="69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Revenue </w:t>
            </w:r>
            <w:r>
              <w:rPr>
                <w:rFonts w:ascii="Times New Roman;sans-serif" w:hAnsi="Times New Roman;sans-serif"/>
                <w:b w:val="false"/>
                <w:color w:val="000000"/>
                <w:sz w:val="12"/>
              </w:rPr>
              <w:t>(a)</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items </w:t>
            </w:r>
            <w:r>
              <w:rPr>
                <w:rFonts w:ascii="Times New Roman;sans-serif" w:hAnsi="Times New Roman;sans-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2024: </w:t>
            </w:r>
            <w:r>
              <w:rPr>
                <w:rFonts w:ascii="Times New Roman;sans-serif" w:hAnsi="Times New Roman;sans-serif"/>
                <w:b w:val="false"/>
                <w:color w:val="000000"/>
                <w:sz w:val="12"/>
              </w:rPr>
              <w:t>(c)</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Revenue </w:t>
            </w:r>
            <w:r>
              <w:rPr>
                <w:rFonts w:ascii="Times New Roman;sans-serif" w:hAnsi="Times New Roman;sans-serif"/>
                <w:b w:val="false"/>
                <w:color w:val="000000"/>
                <w:sz w:val="12"/>
              </w:rPr>
              <w:t>(a)</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items </w:t>
            </w:r>
            <w:r>
              <w:rPr>
                <w:rFonts w:ascii="Times New Roman;sans-serif" w:hAnsi="Times New Roman;sans-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Total consolidated revenue equals total reportable segment revenue of $2,847.7 million and $2,686.8 million for the three month periods ended March 31, 2025 and 2024, respectively, as there is no revenue recorded within Corporate results.</w:t>
      </w:r>
    </w:p>
    <w:p>
      <w:pPr>
        <w:pStyle w:val="TextBody"/>
        <w:bidi w:val="0"/>
        <w:spacing w:lineRule="auto" w:line="288" w:before="4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    For both of the three month periods ended March 31, 2025 and 2024, other segment items for each reportable segment includes general and administrative expenses, equity in earnings or losses of unconsolidated affiliates, net, and other income or expense, net.</w:t>
      </w:r>
    </w:p>
    <w:p>
      <w:pPr>
        <w:pStyle w:val="TextBody"/>
        <w:bidi w:val="0"/>
        <w:spacing w:lineRule="auto" w:line="288" w:before="4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    Recast to reflect segment changes.</w:t>
      </w:r>
    </w:p>
    <w:tbl>
      <w:tblPr>
        <w:tblW w:w="5652" w:type="dxa"/>
        <w:jc w:val="left"/>
        <w:tblInd w:w="0" w:type="dxa"/>
        <w:tblLayout w:type="fixed"/>
        <w:tblCellMar>
          <w:top w:w="28" w:type="dxa"/>
          <w:left w:w="28" w:type="dxa"/>
          <w:bottom w:w="28" w:type="dxa"/>
          <w:right w:w="28" w:type="dxa"/>
        </w:tblCellMar>
      </w:tblPr>
      <w:tblGrid>
        <w:gridCol w:w="924"/>
        <w:gridCol w:w="811"/>
        <w:gridCol w:w="815"/>
        <w:gridCol w:w="251"/>
        <w:gridCol w:w="712"/>
        <w:gridCol w:w="139"/>
        <w:gridCol w:w="139"/>
        <w:gridCol w:w="139"/>
        <w:gridCol w:w="139"/>
        <w:gridCol w:w="251"/>
        <w:gridCol w:w="712"/>
        <w:gridCol w:w="139"/>
        <w:gridCol w:w="109"/>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 Reconciliation:</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266" w:type="dxa"/>
        <w:jc w:val="center"/>
        <w:tblInd w:w="0" w:type="dxa"/>
        <w:tblLayout w:type="fixed"/>
        <w:tblCellMar>
          <w:top w:w="28" w:type="dxa"/>
          <w:left w:w="28" w:type="dxa"/>
          <w:bottom w:w="28" w:type="dxa"/>
          <w:right w:w="28" w:type="dxa"/>
        </w:tblCellMar>
      </w:tblPr>
      <w:tblGrid>
        <w:gridCol w:w="1145"/>
        <w:gridCol w:w="1007"/>
        <w:gridCol w:w="1012"/>
        <w:gridCol w:w="251"/>
        <w:gridCol w:w="712"/>
        <w:gridCol w:w="139"/>
        <w:gridCol w:w="139"/>
        <w:gridCol w:w="139"/>
        <w:gridCol w:w="139"/>
        <w:gridCol w:w="251"/>
        <w:gridCol w:w="712"/>
        <w:gridCol w:w="13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2024 </w:t>
            </w:r>
            <w:r>
              <w:rPr>
                <w:rFonts w:ascii="Times New Roman;sans-serif" w:hAnsi="Times New Roman;sans-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Pipeline Infrastructure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depreciation and amortization</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19</w:t>
                      </w:r>
                    </w:p>
                  </w:txbxContent>
                </v:textbox>
                <w10:wrap type="none"/>
              </v:rect>
            </w:pict>
          </mc:Fallback>
        </mc:AlternateContent>
      </w:r>
    </w:p>
    <w:p>
      <w:pPr>
        <w:pStyle w:val="TextBody"/>
        <w:bidi w:val="0"/>
        <w:spacing w:before="0" w:after="0"/>
        <w:jc w:val="both"/>
        <w:rPr/>
      </w:pPr>
      <w:r>
        <w:rPr/>
      </w:r>
    </w:p>
    <w:tbl>
      <w:tblPr>
        <w:tblW w:w="5787" w:type="dxa"/>
        <w:jc w:val="center"/>
        <w:tblInd w:w="0" w:type="dxa"/>
        <w:tblLayout w:type="fixed"/>
        <w:tblCellMar>
          <w:top w:w="28" w:type="dxa"/>
          <w:left w:w="28" w:type="dxa"/>
          <w:bottom w:w="28" w:type="dxa"/>
          <w:right w:w="28" w:type="dxa"/>
        </w:tblCellMar>
      </w:tblPr>
      <w:tblGrid>
        <w:gridCol w:w="863"/>
        <w:gridCol w:w="758"/>
        <w:gridCol w:w="764"/>
        <w:gridCol w:w="254"/>
        <w:gridCol w:w="895"/>
        <w:gridCol w:w="141"/>
        <w:gridCol w:w="109"/>
        <w:gridCol w:w="109"/>
        <w:gridCol w:w="109"/>
        <w:gridCol w:w="335"/>
        <w:gridCol w:w="1185"/>
        <w:gridCol w:w="265"/>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December 31, 2024 </w:t>
            </w:r>
            <w:r>
              <w:rPr>
                <w:rFonts w:ascii="Times New Roman;sans-serif" w:hAnsi="Times New Roman;sans-serif"/>
                <w:b w:val="false"/>
                <w:color w:val="000000"/>
                <w:sz w:val="12"/>
              </w:rPr>
              <w:t>(a)</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Pipeline Infrastructure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assets</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8,861.9 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8,975.3 </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tbl>
      <w:tblPr>
        <w:tblW w:w="5158" w:type="dxa"/>
        <w:jc w:val="left"/>
        <w:tblInd w:w="0" w:type="dxa"/>
        <w:tblLayout w:type="fixed"/>
        <w:tblCellMar>
          <w:top w:w="28" w:type="dxa"/>
          <w:left w:w="28" w:type="dxa"/>
          <w:bottom w:w="28" w:type="dxa"/>
          <w:right w:w="28" w:type="dxa"/>
        </w:tblCellMar>
      </w:tblPr>
      <w:tblGrid>
        <w:gridCol w:w="902"/>
        <w:gridCol w:w="793"/>
        <w:gridCol w:w="795"/>
        <w:gridCol w:w="273"/>
        <w:gridCol w:w="650"/>
        <w:gridCol w:w="152"/>
        <w:gridCol w:w="152"/>
        <w:gridCol w:w="152"/>
        <w:gridCol w:w="152"/>
        <w:gridCol w:w="273"/>
        <w:gridCol w:w="650"/>
        <w:gridCol w:w="21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Capital Expenditures: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2024 </w:t>
            </w:r>
            <w:r>
              <w:rPr>
                <w:rFonts w:ascii="Times New Roman;sans-serif" w:hAnsi="Times New Roman;sans-serif"/>
                <w:b w:val="false"/>
                <w:color w:val="000000"/>
                <w:sz w:val="12"/>
              </w:rPr>
              <w:t>(a)</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Pipeline Infrastructure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capital expenditures</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p>
      <w:pPr>
        <w:pStyle w:val="TextBody"/>
        <w:bidi w:val="0"/>
        <w:spacing w:lineRule="auto" w:line="288" w:before="240" w:after="120"/>
        <w:ind w:left="0" w:right="0" w:firstLine="360"/>
        <w:jc w:val="both"/>
        <w:rPr/>
      </w:pPr>
      <w:r>
        <w:rPr>
          <w:rFonts w:ascii="Times New Roman;sans-serif" w:hAnsi="Times New Roman;sans-serif"/>
          <w:b/>
          <w:i/>
          <w:color w:val="000000"/>
          <w:sz w:val="18"/>
          <w:shd w:fill="FFFFFF" w:val="clear"/>
        </w:rPr>
        <w:t>Foreign Operations</w:t>
      </w:r>
      <w:r>
        <w:rPr>
          <w:rFonts w:ascii="Times New Roman;sans-serif" w:hAnsi="Times New Roman;sans-serif"/>
          <w:b/>
          <w:i/>
          <w:color w:val="000000"/>
          <w:sz w:val="18"/>
        </w:rPr>
        <w:t xml:space="preserve">. </w:t>
      </w:r>
      <w:r>
        <w:rPr>
          <w:rFonts w:ascii="Times New Roman;sans-serif" w:hAnsi="Times New Roman;sans-serif"/>
          <w:b w:val="false"/>
          <w:color w:val="000000"/>
          <w:sz w:val="18"/>
        </w:rPr>
        <w:t>MasTec operates primarily within the United States and Canada, and, to a far lesser extent, the Caribbean, India and Mexico. Revenue derived from foreign operations totaled $49.8 million and $26.7 million for the three month periods ended March 31, 2025 and 2024, respectively. Revenue from foreign operations was derived primarily from the Company’s Canadian operations in its Pipeline Infrastructure segment. As of March 31, 2025 and December 31, 2024, long-lived assets held by the Company’s businesses in foreign countries included property and equipment, net, of $23.9 million and $25.3 million, respectively, and intangible assets and goodwill, net, of $107.0 million and $108.8 million, for the respective periods. Substantially all of the Company’s long-lived and intangible assets and goodwill in foreign countries relate to its Canadian operations.</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 xml:space="preserve">Significant Customers. </w:t>
      </w:r>
      <w:r>
        <w:rPr>
          <w:rFonts w:ascii="Times New Roman;sans-serif" w:hAnsi="Times New Roman;sans-serif"/>
          <w:b w:val="false"/>
          <w:color w:val="000000"/>
          <w:sz w:val="18"/>
        </w:rPr>
        <w:t>For the three month period ended March 31, 2025, AT&amp;T represented approximately 10% of the Company’s total consolidated revenue. 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For the three month period ended March 31, 2024, Equitrans Midstream Corporation represented approximately 11% of the Company’s total consolidated revenue. The Company's relationship with Equitrans Midstream Corporation and its affiliates is based upon various construction contracts for pipeline activities, for which the related revenue is included within the Pipeline Infrastructure segment. Revenue from governmental entities for the three month periods ended March 31, 2025 and 2024 totaled approximately 13% and 12% of total revenue, respectively, all of which was derived from its U.S.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12 – Commitments and Contingencies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Acquired Legacy Solar Matter</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See Note 14 – Commitments and Contingencies contained within the Company’s audited consolidated financial statements filed with its 2024 Form 10-K for additional information regarding the acquired legacy solar matter, with respect to which, in January 2025, the parties agreed to a negotiated settlement and mutual releases in exchange for the payment to the plaintiffs by Infrastructure and Energy Alternatives, Inc. (“IEA”) and its subsidiary, IEA Constructors, LLC (“IEAC”), of an immaterial amount of cash. There have been no material developments since the filing of such Form 10-K.</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Other Commitments and Contingencies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Leases</w:t>
      </w:r>
      <w:r>
        <w:rPr>
          <w:rFonts w:ascii="Times New Roman;sans-serif" w:hAnsi="Times New Roman;sans-serif"/>
          <w:b/>
          <w:color w:val="000000"/>
          <w:sz w:val="18"/>
        </w:rPr>
        <w:t xml:space="preserve">. </w:t>
      </w:r>
      <w:r>
        <w:rPr>
          <w:rFonts w:ascii="Times New Roman;sans-serif" w:hAnsi="Times New Roman;sans-serif"/>
          <w:b w:val="false"/>
          <w:color w:val="000000"/>
          <w:sz w:val="18"/>
        </w:rPr>
        <w:t>In the ordinary course of business, the Company enters into non-cancelable operating leases for certain of its facility, vehicle and equipment needs, including certain related party leases. See Note 7 – Lease Obligations and Note 13 – Related Party Transactions.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Letters of Credit.</w:t>
      </w:r>
      <w:r>
        <w:rPr>
          <w:color w:val="000000"/>
        </w:rPr>
        <w:t xml:space="preserve"> </w:t>
      </w:r>
      <w:r>
        <w:rPr>
          <w:rFonts w:ascii="Times New Roman;sans-serif" w:hAnsi="Times New Roman;sans-serif"/>
          <w:b w:val="false"/>
          <w:color w:val="000000"/>
          <w:sz w:val="18"/>
        </w:rPr>
        <w:t xml:space="preserve">In the ordinary course of business, the Company is required to post letters of credit for its insurance carriers and surety bond providers and in support of performance under certain contracts as well as certain obligations associated with the Company’s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investments and other strategic arrangements, including its variable interest entities. In addition, from time to time, certain customers require the Company to post letters of credit to ensure payment of subcontractors and vendors, and guarantee performance under contracts.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2025 and December 31, 2024, there were $78.7 million and $81.7 million, respectively, of letters of credit issued under the Company’s credit facilities. Letter of credit claims have historically not been material. The Company is not aware of any material claims relating to its outstanding letters of credit as of March 31, 2025 or December 31, 2024.</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Performance and Payment Bonds.</w:t>
      </w:r>
      <w:r>
        <w:rPr>
          <w:color w:val="000000"/>
        </w:rPr>
        <w:t xml:space="preserve"> </w:t>
      </w:r>
      <w:r>
        <w:rPr>
          <w:rFonts w:ascii="Times New Roman;sans-serif" w:hAnsi="Times New Roman;sans-serif"/>
          <w:b w:val="false"/>
          <w:color w:val="000000"/>
          <w:sz w:val="18"/>
        </w:rPr>
        <w:t>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2025 and December 31, 2024, outstanding performance and payment bonds approximated $7.5 billion and $7.6 billion, respectively, and estimated costs to complete projects secured by these bonds totaled $2.1 billion and $2.2 billion, respectively. Included in these balances as of March 31, 2025 and December 31, 2024 are $842.9 million and $838.7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Investment and Strategic Arrangements.</w:t>
      </w:r>
      <w:r>
        <w:rPr>
          <w:color w:val="000000"/>
        </w:rPr>
        <w:t xml:space="preserve"> </w:t>
      </w:r>
      <w:r>
        <w:rPr>
          <w:rFonts w:ascii="Times New Roman;sans-serif" w:hAnsi="Times New Roman;sans-serif"/>
          <w:b w:val="false"/>
          <w:color w:val="000000"/>
          <w:sz w:val="18"/>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2025, the Company was not aware of material future claims against it in connection with these arrangements. Included in the Company’s cash balances as of March 31, 2025 and December 31, 2024 are amounts held by entities that are proportionately consolidated totaling $38.5 million and $46.7 million, respectively. These amounts are available to support the operations of those entities, but are not available for the Company’s other operations.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investment and strategic arrangements, under which it may incur costs or provide financing, performance, financial and/or other guarantees. See Note 4 – Fair Value of Financial Instruments and Note 13 – Related Party Transactions for additional information pertaining to the Company’s investment and strategic arrangements.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Self-Insurance</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$2.6 million and $2.2 million as of March 31, 2025 and December 31, 2024, respectively, which amounts are generally not available for use in the Company’s other operations.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and December 31, 2024, MasTec’s estimated gross liability for unpaid claims and associated expenses, including incurred but not reported losses related to these policies, totaled $254.9 million and $251.0 million, respectively, of which $188.1 million and $184.1 million was reflected within other long-term liabilities, with the remainder reflected within other accrued expenses, in the consolidated balance sheets as of the respective periods. Related insurance recoveries/receivables totaled $24.6 million and $24.4 million as of March 31, 2025 and December 31, 2024, respectively, of which $21.6 million and $21.4 million was reflected within other long-term assets, with the remainder reflected within other current assets, in the consolidated balance sheets as of the respective periods.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also maintains an insurance policy with respect to employee group medical claims, which is subject to annual per employee maximum losses. MasTec’s estimated liability for employee group medical claims totaled $5.1 million and $4.7 million as of March 31, 2025 and December 31, 2024, respectively.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$8.7 million as of both March 31, 2025 and December 31, 2024. Outstanding surety bonds related to self-insurance programs amounted to $190.2 million and $196.3 million as of March 31, 2025 and December 31, 2024, respectively.</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 xml:space="preserve">Collective Bargaining Agreements and Multiemployer Plans. </w:t>
      </w:r>
      <w:r>
        <w:rPr>
          <w:rFonts w:ascii="Times New Roman;sans-serif" w:hAnsi="Times New Roman;sans-serif"/>
          <w:b w:val="false"/>
          <w:color w:val="000000"/>
          <w:sz w:val="18"/>
        </w:rPr>
        <w:t>In connection with the IEA acquisition, the Company assumed a multiemployer pension plan withdrawal liability (the “IEA withdrawal liability”), under which IEA was obligated to make monthly payments of approximately $10,000. In January 2025, the Company settled its IEA withdrawal liability by issuing a lump-sum payment for the remaining obligation of $1.3 million. See Note 14 – Commitments and Contingencies contained within the Company’s audited consolidated financial statements filed with its 2024 Form 10-K for additional information regarding the Company’s multiemployer pension plans.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Indemnities.</w:t>
      </w:r>
      <w:r>
        <w:rPr>
          <w:color w:val="000000"/>
        </w:rPr>
        <w:t xml:space="preserve"> </w:t>
      </w:r>
      <w:r>
        <w:rPr>
          <w:rFonts w:ascii="Times New Roman;sans-serif" w:hAnsi="Times New Roman;sans-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both March 31, 2025 and December 31, 2024, the Company had accrued project close-out liabilities of approximately $20 million. The Company is not aware of any other material asserted or unasserted claims in connection with its potential indemnity obligations.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Other Guarantees.</w:t>
      </w:r>
      <w:r>
        <w:rPr>
          <w:color w:val="000000"/>
        </w:rPr>
        <w:t xml:space="preserve"> </w:t>
      </w:r>
      <w:r>
        <w:rPr>
          <w:rFonts w:ascii="Times New Roman;sans-serif" w:hAnsi="Times New Roman;sans-serif"/>
          <w:b w:val="false"/>
          <w:color w:val="000000"/>
          <w:sz w:val="18"/>
        </w:rPr>
        <w:t xml:space="preserve">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Concentrations of Risk.</w:t>
      </w:r>
      <w:r>
        <w:rPr>
          <w:color w:val="000000"/>
        </w:rPr>
        <w:t xml:space="preserve"> </w:t>
      </w:r>
      <w:r>
        <w:rPr>
          <w:rFonts w:ascii="Times New Roman;sans-serif" w:hAnsi="Times New Roman;sans-serif"/>
          <w:b w:val="false"/>
          <w:color w:val="000000"/>
          <w:sz w:val="18"/>
        </w:rPr>
        <w:t>The Company had approximately 1,045 customers for the three month period ended March 31, 2025. As of both March 31, 2025 and December 31, 2024, no customer represented greater than 10% of the Company’s consolidated net accounts receivable position, which is calculated as accounts receivable, net, less deferred revenue. The Company derived approximately 36% and 43% of its revenue from its top ten customers for the three month periods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13 – Related Party Transactions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rents and leases equipment and purchases certain supplies and servicing from CCI, an entity in which Juan Carlos Mas, who is an immediate family member of the Company’s CEO and its Chairman of the Board, serves as the chairman. Additionally, a member of management of a MasTec subsidiary and an entity that is owned by the Mas family are minority owners of CCI. For the three month periods ended March 31, 2025 and 2024, MasTec paid CCI approximately $1.4 million and $5.8 million, respectively, for such services, and related amounts payable totaled approximately $0.7 million as of both March 31, 2025 and December 31, 2024. The Company also rents equipment to CCI and revenue from such rentals totaled approximately $0.2 million for the three month period ended March 31, 2025, and for the three month period ended March 31, 2024, there was no revenue from such arrangements.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March 31, 2025 and 2024, MasTec incurred subcontracting expenses in connection with this arrangement of approximately $0.1 million and $3.7 million, respectively.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an aircraft leasing arrangement with an entity that is owned by Jorge Mas. For the three month periods ended March 31, 2025 and 2024, MasTec paid approximately $1.4 million and $1.6 million, respectively, related to this leasing arrangement.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performs construction services on behalf of a professional Miami soccer franchise (the “Franchise”) in which Jorge Mas and José R. Mas are majority owners. Construction services include, and have included, the construction of a soccer facility and stadium as well as wireless infrastructure services. Construction services related to site preparation for a new soccer complex began in 2023. For the three month periods ended March 31, 2025 and 2024, revenue under these arrangements totaled approximately $10.9 million and $5.0 million, respectively, and related amounts receivable totaled approximately $16.4 million and $12.8 million as of March 31, 2025 and December 31, 2024, respectively. Payments for other expenses related to the Franchise totaled approximately $0.4 million and $0.2 million for the three month periods ended March 31, 2025 and 2024, respectively.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to perform construction services for an entity in which José R. Mas had a minority interest, and a member of management of a MasTec subsidiary owned the remaining interest. On January 1, 2024, MasTec acquired José R. Mas’ interest in this entity for approximately $0.7 million.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split dollar life insurance agreements with trusts, for one of which Jorge Mas is a trustee, and for the other of which José R. Mas is a trustee. As of both March 31, 2025 and December 31, 2024, life insurance assets associated with these agreements totaled approximately $27.5 million.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periods indicated is noted below.</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purchases, rents and leases equipment and purchases various types of supplies and services used in its business, and from time to time, rents equipment to, sells certain supplies, or performs construction services on behalf of, related entities. For the three month periods ended March 31, 2025 and 2024, payments to these related entities totaled approximately $7.4 million and $10.3 million, respectively, and revenue from such arrangements totaled approximately $1.6 million and $4.4 million, respectively. Payables associated with such arrangements totaled approximately $4.9 million and $2.8 million as of March 31, 2025 and December 31, 2024, respectively. As of March 31, 2025 and December 31, 2024, accounts receivable, net, less deferred revenue related to these arrangements totaled receivables of approximately $1.4 million and $3.9 million, respectively.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three month period ended March 31, 2025, the Company paid no amounts on behalf of or to former owners, and during three month period ended March 31, 2024, the Company paid $0.2 million of such amounts, which are obligated to be repaid under the provisions of the related purchase agreements. As of March 31, 2025, there were no related amounts receivable, and as of December 31, 2024, amounts receivable for such payments totaled approximately $0.2 million.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the Company has certain arrangements with a related entity, including a fee arrangement in conjunction with a $15.0 million letter of credit issued by the Company on behalf of this entity. Income recognized in connection with these arrangements totaled approximately $0.2 million for both the three month periods ended March 31, 2025 and 2024. As of March 31, 2025 and December 31, 2024, related amounts receivable totaled approximately $0.5 million and $0.4 million, respectively. This letter of credit was cancelled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These notes, of which approximately $3.0 million and $3.2 million was outstanding as of March 31, 2025 and December 31, 2024, respectively, are recorded within other current or long-term assets, as appropriate, in the consolidated financial statements. The notes bear interest at a rate of 5.0% per annum, and for both the three month periods ended March 31, 2025 and 2024, the Company recognized an immaterial amount of interest income related to these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CAUTIONARY STATEMENT REGARDING FORWARD-LOOKING STATEMENTS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“continue,”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These risks and uncertainties include those described in “Management’s Discussion and Analysis of Financial Condition and Results of Operations,” and elsewhere in this report and in our 2024 Annual Report on Form 10-K (“2024 Form 10-K”), including those described under “Cautionary Statement Regarding Forward-Looking Statements” and “Risk Factors,” as updated by </w:t>
      </w:r>
      <w:hyperlink w:anchor="i670eaa6f42784110851c8a69920e3171_130">
        <w:r>
          <w:rPr>
            <w:rStyle w:val="InternetLink"/>
            <w:rFonts w:ascii="Times New Roman;sans-serif" w:hAnsi="Times New Roman;sans-serif"/>
            <w:b w:val="false"/>
            <w:color w:val="0000FF"/>
            <w:sz w:val="18"/>
            <w:u w:val="single"/>
          </w:rPr>
          <w:t>Item 1A</w:t>
        </w:r>
      </w:hyperlink>
      <w:r>
        <w:rPr>
          <w:rFonts w:ascii="Times New Roman;sans-serif" w:hAnsi="Times New Roman;sans-serif"/>
          <w:b w:val="false"/>
          <w:color w:val="000000"/>
          <w:sz w:val="18"/>
        </w:rPr>
        <w:t>,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The following is a discussion and analysis of our business, financial condition and results of operations for the quarterly period ended March 31, 2025 and relevant prior periods. This discussion and analysis should be read in conjunction with our consolidated financial statements and notes thereto in </w:t>
      </w:r>
      <w:hyperlink w:anchor="i670eaa6f42784110851c8a69920e3171_13">
        <w:r>
          <w:rPr>
            <w:rStyle w:val="InternetLink"/>
            <w:rFonts w:ascii="Times New Roman;sans-serif" w:hAnsi="Times New Roman;sans-serif"/>
            <w:b w:val="false"/>
            <w:color w:val="0000FF"/>
            <w:sz w:val="18"/>
            <w:u w:val="single"/>
          </w:rPr>
          <w:t>Item 1</w:t>
        </w:r>
      </w:hyperlink>
      <w:r>
        <w:rPr>
          <w:color w:val="000000"/>
        </w:rPr>
        <w:t xml:space="preserve"> </w:t>
      </w:r>
      <w:r>
        <w:rPr>
          <w:rFonts w:ascii="Times New Roman;sans-serif" w:hAnsi="Times New Roman;sans-serif"/>
          <w:b w:val="false"/>
          <w:color w:val="000000"/>
          <w:sz w:val="18"/>
        </w:rPr>
        <w:t>of this Quarterly Report on Form 10-Q (this “Form 10-Q”), and the audited consolidated financial statements, accompanying notes and Management’s Discussion and Analysis of Financial Condition and Results of Operations (“MD&amp;A”) contained in our 2024 Form 10-K. In this MD&amp;A, “$” means U.S. dollars unless specified otherwise.</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General Economic, Market and Regulatory Conditions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experienced, and may continue to experience, direct and indirect negative effects on our business and operations from economic, market and regulatory conditions. Although the Federal Reserve has periodically lowered short-term interest rates since September 2024, interest rates, particularly long-term rates, remain elevated and the timing, direction and extent of any future interest rate changes remain uncertain. We expect the remainder of 2025 to continue to be a dynamic macroeconomic environment, with elevated market interest rates and continuing levels of cost inflation due, in part, to trade actions discussed below, and potential market volatility, any or all of which could adversely affect our costs and customer demand. </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As disclosed within our “Risk Factors” in our 2024 Form 10-K and </w:t>
      </w:r>
      <w:hyperlink w:anchor="i670eaa6f42784110851c8a69920e3171_130">
        <w:r>
          <w:rPr>
            <w:rStyle w:val="InternetLink"/>
            <w:rFonts w:ascii="Times New Roman;sans-serif" w:hAnsi="Times New Roman;sans-serif"/>
            <w:b w:val="false"/>
            <w:color w:val="0000FF"/>
            <w:sz w:val="18"/>
            <w:u w:val="single"/>
          </w:rPr>
          <w:t>Item 1A</w:t>
        </w:r>
      </w:hyperlink>
      <w:r>
        <w:rPr>
          <w:rFonts w:ascii="Times New Roman;sans-serif" w:hAnsi="Times New Roman;sans-serif"/>
          <w:b w:val="false"/>
          <w:color w:val="000000"/>
          <w:sz w:val="18"/>
        </w:rPr>
        <w:t xml:space="preserve">, “Risk Factors” of this Form 10-Q, we are subject to risks related to, among other factors, trade actions, including tariffs and export restrictions that may have significant effects on macroeconomic conditions. In April 2025, the U.S. government announced a variety of tariff actions in response to which many countries have announced retaliatory trade actions, including tariffs on U.S. exports. These actions have increased the cost of importing certain construction materials into the U.S., including steel, concrete and solar panels, and have caused disruption and uncertainty to both international trade and supply chains, as well as financial markets. It is unclear, however, to what extent, when and for how long announced trade actions will be implemented.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date, these trade actions have had no meaningful impact on the results of our operations or the projects currently underway as the construction materials and equipment used for our current projects have generally been sourced and/or secured upon project inception. We are, however, evaluating the potential impacts of these proposed tariffs, including potential impacts to our customers, as well as our ability to mitigate their related impacts. In addition, economic experts and policy makers have expressed concerns that increased tariffs and other trade actions could increase inflation or the risk of a recession, which could also affect our customers’ capital spending plans and demand for our services.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the impact of other trade policies, immigration policies, reduced federal government support for renewable power and other infrastructure projects, and increased federal support for oil and gas production may have both negative and positive effects on the demand for our services, capital costs, labor costs and availability and costs of our operations. We will continue to monitor the market and economic conditions. 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Business Overview</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pPr>
      <w:r>
        <w:rPr>
          <w:rFonts w:ascii="Times New Roman;sans-serif" w:hAnsi="Times New Roman;sans-serif"/>
          <w:b w:val="false"/>
          <w:color w:val="000000"/>
          <w:sz w:val="18"/>
        </w:rPr>
        <w:t>heavy civil and industrial infrastructure, including roads, bridges and rail; and environmental remediation services. Our customers are primarily in these industries. Including our predecessor companies, we have been in business for over 95 years. For the twelve month period ended March 31, 2025, we had an average of approxi</w:t>
      </w:r>
      <w:r>
        <w:rPr>
          <w:rFonts w:ascii="Times New Roman;sans-serif" w:hAnsi="Times New Roman;sans-serif"/>
          <w:b w:val="false"/>
          <w:color w:val="000000"/>
          <w:sz w:val="18"/>
          <w:shd w:fill="FFFFFF" w:val="clear"/>
        </w:rPr>
        <w:t xml:space="preserve">mately 32,000 employees and 770 locations, and as of </w:t>
      </w:r>
      <w:r>
        <w:rPr>
          <w:rFonts w:ascii="Times New Roman;sans-serif" w:hAnsi="Times New Roman;sans-serif"/>
          <w:b w:val="false"/>
          <w:color w:val="000000"/>
          <w:sz w:val="18"/>
        </w:rPr>
        <w:t>March 31, 2025, we had approximately 32,000 employees and 780 locations</w:t>
      </w:r>
      <w:r>
        <w:rPr>
          <w:rFonts w:ascii="Times New Roman;sans-serif" w:hAnsi="Times New Roman;sans-serif"/>
          <w:b w:val="false"/>
          <w:color w:val="000000"/>
          <w:sz w:val="18"/>
          <w:shd w:fill="FFFFFF" w:val="clear"/>
        </w:rPr>
        <w:t xml:space="preserve">. We </w:t>
      </w:r>
      <w:r>
        <w:rPr>
          <w:rFonts w:ascii="Times New Roman;sans-serif" w:hAnsi="Times New Roman;sans-serif"/>
          <w:b w:val="false"/>
          <w:color w:val="000000"/>
          <w:sz w:val="18"/>
        </w:rPr>
        <w:t>offer our services under the MasTec</w:t>
      </w:r>
      <w:r>
        <w:rPr>
          <w:rFonts w:ascii="Times New Roman;sans-serif" w:hAnsi="Times New Roman;sans-serif"/>
          <w:b w:val="false"/>
          <w:color w:val="000000"/>
          <w:sz w:val="12"/>
        </w:rPr>
        <w:t xml:space="preserve">® </w:t>
      </w:r>
      <w:r>
        <w:rPr>
          <w:rFonts w:ascii="Times New Roman;sans-serif" w:hAnsi="Times New Roman;sans-serif"/>
          <w:b w:val="false"/>
          <w:color w:val="000000"/>
          <w:sz w:val="18"/>
        </w:rPr>
        <w:t>and other service marks and we are ranked among the top five contractors within Engineering News-Record’s Top 400 Contractors.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first quarter of 2025, we made changes to our Communications and Power Delivery segment structure to more closely align with our segments’ end markets and to better correspond with the operational management reporting structure of both segments. These changes included moving a component with utility operations previously reported in our Communications segment to our Power Delivery segment. These changes did not impact our consolidated financial statements, but did impact our reportable segments, including historical financial information. See Note 11 – Segments and Related Information and Note 12 – Commitments and Contingencies in the notes to the consolidated financial statements, which are incorporated by reference, for additional information regarding our segment reporting and significant customer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Backlog</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60% of our estimated March 31, 2025 backlog in 2025. The following table presents 18-month estimated backlog by reportable segment as of the periods indicated:</w:t>
      </w:r>
    </w:p>
    <w:tbl>
      <w:tblPr>
        <w:tblW w:w="7910" w:type="dxa"/>
        <w:jc w:val="left"/>
        <w:tblInd w:w="0" w:type="dxa"/>
        <w:tblLayout w:type="fixed"/>
        <w:tblCellMar>
          <w:top w:w="28" w:type="dxa"/>
          <w:left w:w="28" w:type="dxa"/>
          <w:bottom w:w="28" w:type="dxa"/>
          <w:right w:w="28" w:type="dxa"/>
        </w:tblCellMar>
      </w:tblPr>
      <w:tblGrid>
        <w:gridCol w:w="976"/>
        <w:gridCol w:w="860"/>
        <w:gridCol w:w="863"/>
        <w:gridCol w:w="266"/>
        <w:gridCol w:w="876"/>
        <w:gridCol w:w="147"/>
        <w:gridCol w:w="109"/>
        <w:gridCol w:w="109"/>
        <w:gridCol w:w="109"/>
        <w:gridCol w:w="358"/>
        <w:gridCol w:w="1182"/>
        <w:gridCol w:w="199"/>
        <w:gridCol w:w="109"/>
        <w:gridCol w:w="109"/>
        <w:gridCol w:w="109"/>
        <w:gridCol w:w="301"/>
        <w:gridCol w:w="992"/>
        <w:gridCol w:w="236"/>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 (in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December 31, 2024 </w:t>
            </w:r>
            <w:r>
              <w:rPr>
                <w:rFonts w:ascii="Times New Roman;sans-serif" w:hAnsi="Times New Roman;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March 31, 2024 </w:t>
            </w:r>
            <w:r>
              <w:rPr>
                <w:rFonts w:ascii="Times New Roman;sans-serif" w:hAnsi="Times New Roman;sans-serif"/>
                <w:b w:val="false"/>
                <w:color w:val="000000"/>
                <w:sz w:val="12"/>
              </w:rPr>
              <w:t>(a)</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Pipeline Infrastructure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18-month backlog</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15,880 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14,298 </w:t>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12,837 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51%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March 31, 2025, total 18-month backlog differed from the amount of our remaining performance obligations due primarily to the inclusion of $7.8 billion of estimated future revenue under master service and other service agreements within our backlog estimates, as described above, and the exclusion of approximately $2.9 billion of remaining performance obligations and estimated future revenue under master service and other service agreements in excess of 18 months, which amount is not included in the backlog estimates above. Backlog expected to be realized in 2025 differs from the amount of remaining performance obligations expected to be recognized for the same period due primarily to the inclusion of approximately $2.7 billion of estimated future revenue under master service and other service agreements included within our backlog estimate, which is not included within our remaining performance obligations for the same period.</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Economic, Industry and Market Factors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We closely monitor the effects of changes in economic, industry and market conditions on our customers, including the potential effects of the factors discussed above in “General Economic, Market and Regulatory Conditions,”</w:t>
      </w:r>
      <w:r>
        <w:rPr>
          <w:color w:val="000000"/>
        </w:rPr>
        <w:t xml:space="preserve"> </w:t>
      </w:r>
      <w:r>
        <w:rPr>
          <w:rFonts w:ascii="Times New Roman;sans-serif" w:hAnsi="Times New Roman;sans-serif"/>
          <w:b w:val="false"/>
          <w:color w:val="000000"/>
          <w:sz w:val="18"/>
        </w:rPr>
        <w:t xml:space="preserve">which can affect demand for our customers’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2024 Form 10-K.</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Effect of Seasonality and Cyclical Nature of Business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revenue and results of operations can be subject to seasonal and other variations. For additional information regarding the effects of seasonality and the cyclical nature of our business, see Management’s Discussion and Analysis of Financial Condition and Results of Operations contained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2024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connection with the changes to our Communications segment and Power Delivery segment structures, management performed a quantitative assessment of the goodwill associated with each of the impacted reporting units within the Communications and Power Delivery operating segments, respectively. For additional details of the changes and the related assessment, refer to Note 3 – Acquisitions, Goodwill and Other Intangible Assets, Net, in the notes to the consolidated financial statements, which is incorporated by reference.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Other than the update to the reporting unit structure of our Communications and Power Delivery operating segments as described above, there were no material changes in our critical accounting estimates or policies during the three month period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120" w:after="120"/>
        <w:ind w:left="0" w:right="0" w:firstLine="450"/>
        <w:jc w:val="both"/>
        <w:rPr>
          <w:rFonts w:ascii="Times New Roman;sans-serif" w:hAnsi="Times New Roman;sans-serif"/>
          <w:b/>
          <w:i/>
          <w:color w:val="000000"/>
          <w:sz w:val="18"/>
        </w:rPr>
      </w:pPr>
      <w:r>
        <w:rPr>
          <w:rFonts w:ascii="Times New Roman;sans-serif" w:hAnsi="Times New Roman;sans-serif"/>
          <w:b/>
          <w:i/>
          <w:color w:val="000000"/>
          <w:sz w:val="18"/>
        </w:rPr>
        <w:t>Comparison of Quarterly Results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as appropriate, which are described in the comparison of results section below. Unless otherwise stated, comparisons are for the quarters ended March 31, 2025 and 2024. Historical financial information for our reportable segments has been recast to conform with the changes described in Note 11 – Segments and Related Information in the notes to the consolidated financial statements, which is incorporated by reference.</w:t>
      </w:r>
    </w:p>
    <w:tbl>
      <w:tblPr>
        <w:tblW w:w="10205" w:type="dxa"/>
        <w:jc w:val="left"/>
        <w:tblInd w:w="0" w:type="dxa"/>
        <w:tblLayout w:type="fixed"/>
        <w:tblCellMar>
          <w:top w:w="28" w:type="dxa"/>
          <w:left w:w="28" w:type="dxa"/>
          <w:bottom w:w="28" w:type="dxa"/>
          <w:right w:w="28" w:type="dxa"/>
        </w:tblCellMar>
      </w:tblPr>
      <w:tblGrid>
        <w:gridCol w:w="958"/>
        <w:gridCol w:w="724"/>
        <w:gridCol w:w="731"/>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556"/>
        <w:gridCol w:w="109"/>
        <w:gridCol w:w="109"/>
        <w:gridCol w:w="109"/>
        <w:gridCol w:w="109"/>
        <w:gridCol w:w="251"/>
        <w:gridCol w:w="252"/>
        <w:gridCol w:w="256"/>
        <w:gridCol w:w="109"/>
        <w:gridCol w:w="109"/>
        <w:gridCol w:w="109"/>
        <w:gridCol w:w="109"/>
        <w:gridCol w:w="109"/>
        <w:gridCol w:w="109"/>
        <w:gridCol w:w="109"/>
        <w:gridCol w:w="158"/>
      </w:tblGrid>
      <w:tr>
        <w:trPr/>
        <w:tc>
          <w:tcPr>
            <w:tcW w:w="95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2025 Compared to Three Months Ended March 31, 2024 </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Revenue</w:t>
      </w:r>
      <w:r>
        <w:rPr>
          <w:rFonts w:ascii="Times New Roman;sans-serif" w:hAnsi="Times New Roman;sans-serif"/>
          <w:b/>
          <w:color w:val="000000"/>
          <w:sz w:val="18"/>
        </w:rPr>
        <w:t xml:space="preserve">. </w:t>
      </w:r>
      <w:r>
        <w:rPr>
          <w:rFonts w:ascii="Times New Roman;sans-serif" w:hAnsi="Times New Roman;sans-serif"/>
          <w:b w:val="false"/>
          <w:color w:val="000000"/>
          <w:sz w:val="18"/>
        </w:rPr>
        <w:t>On a consolidated basis, revenue increased by $161 million driven by our segment results as follows: revenue increased in our Communications segment by approximately $175 million, or 35%, in our Clean Energy and Infrastructure segment by approximately $162 million, or 22%, and in our Power Delivery segment by approximately $102 million, or 13%, and decreased in our Pipeline Infrastructure segment by approximately $277 million, or 44%.</w:t>
      </w:r>
      <w:r>
        <w:rPr>
          <w:color w:val="000000"/>
          <w:shd w:fill="FFFFFF" w:val="clear"/>
        </w:rPr>
        <w:t xml:space="preserve"> </w:t>
      </w:r>
      <w:r>
        <w:rPr>
          <w:rFonts w:ascii="Times New Roman;sans-serif" w:hAnsi="Times New Roman;sans-serif"/>
          <w:b w:val="false"/>
          <w:color w:val="000000"/>
          <w:sz w:val="18"/>
        </w:rPr>
        <w:t>See below for details of revenue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pPr>
      <w:r>
        <w:rPr>
          <w:rFonts w:ascii="Times New Roman;sans-serif" w:hAnsi="Times New Roman;sans-serif"/>
          <w:b/>
          <w:i/>
          <w:color w:val="000000"/>
          <w:sz w:val="18"/>
        </w:rPr>
        <w:t xml:space="preserve">Costs of revenue, excluding depreciation and amortization. </w:t>
      </w:r>
      <w:r>
        <w:rPr>
          <w:rFonts w:ascii="Times New Roman;sans-serif" w:hAnsi="Times New Roman;sans-serif"/>
          <w:b w:val="false"/>
          <w:color w:val="000000"/>
          <w:sz w:val="18"/>
        </w:rPr>
        <w:t>Higher levels of revenue contributed an increase of $142 million in costs of revenue, excluding depreciation and amortization, and reduced productivity contributed an increase of approximately $14 million. Costs of revenue, excluding depreciation and amortization, as a percentage of revenue increased by approximately 50 basis points to 89.1% of revenue for the three month period ended March 31, 2025 from 88.6% of revenue for the same period in 2024. The basis point increase was due to a combination of project mix and reduced project efficiencies, primarily within our Power Delivery and Pipeline Infrastructure segments, largely offset by improved productivity within our Clean Energy and Infrastructure segment. See “</w:t>
      </w:r>
      <w:r>
        <w:rPr>
          <w:rFonts w:ascii="Times New Roman;sans-serif" w:hAnsi="Times New Roman;sans-serif"/>
          <w:b w:val="false"/>
          <w:i/>
          <w:color w:val="000000"/>
          <w:sz w:val="18"/>
        </w:rPr>
        <w:t>Analysis of Revenue and EBITDA by Segment</w:t>
      </w:r>
      <w:r>
        <w:rPr>
          <w:color w:val="000000"/>
        </w:rPr>
        <w:t xml:space="preserve">” </w:t>
      </w:r>
      <w:r>
        <w:rPr>
          <w:rFonts w:ascii="Times New Roman;sans-serif" w:hAnsi="Times New Roman;sans-serif"/>
          <w:b w:val="false"/>
          <w:color w:val="000000"/>
          <w:sz w:val="18"/>
        </w:rPr>
        <w:t>below for discussion of operating capacity effects by segment.</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Depreciation.</w:t>
      </w:r>
      <w:r>
        <w:rPr>
          <w:color w:val="000000"/>
        </w:rPr>
        <w:t xml:space="preserve"> </w:t>
      </w:r>
      <w:r>
        <w:rPr>
          <w:rFonts w:ascii="Times New Roman;sans-serif" w:hAnsi="Times New Roman;sans-serif"/>
          <w:b w:val="false"/>
          <w:color w:val="000000"/>
          <w:sz w:val="18"/>
        </w:rPr>
        <w:t>As a percentage of revenue, depreciation decreased by approximately 130 basis points, due primarily to a net reduction related to a change in the depreciable lives of certain machinery and equipment during 2024 to better align the respective assets’ lives with their expected useful lives, offset, in part, by higher capital expenditures and the replacement of older machinery and equipment.</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Amortization of intangible assets.</w:t>
      </w:r>
      <w:r>
        <w:rPr>
          <w:color w:val="000000"/>
        </w:rPr>
        <w:t xml:space="preserve"> </w:t>
      </w:r>
      <w:r>
        <w:rPr>
          <w:rFonts w:ascii="Times New Roman;sans-serif" w:hAnsi="Times New Roman;sans-serif"/>
          <w:b w:val="false"/>
          <w:color w:val="000000"/>
          <w:sz w:val="18"/>
        </w:rPr>
        <w:t>The decrease in amortization of intangible assets was due to a combination of the effects of timing of amortization for certain assets and the completion of amortization for certain intangible assets associated with prior year acquisitions. As a percentage of revenue, amortization of intangible assets decreased by approximately 10 basis points as compared with the same period in 2024 due, in part, to higher levels of revenue.</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General and administrative expenses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increase in general and administrative expenses was primarily due to the effects of timing of ordinary course legal matters which were largely offset by reductions in the provision for credit losses and other administrative costs. Overall, general and administrative expenses decreased by approximately 30 basis points as a percentage of revenue for the three month period ended March 31, 2025 as compared with the same period in 2024.</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 xml:space="preserve">Interest expense, net. </w:t>
      </w:r>
      <w:r>
        <w:rPr>
          <w:rFonts w:ascii="Times New Roman;sans-serif" w:hAnsi="Times New Roman;sans-serif"/>
          <w:b w:val="false"/>
          <w:color w:val="000000"/>
          <w:sz w:val="18"/>
        </w:rPr>
        <w:t xml:space="preserve">The decrease in interest expense, net, resulted primarily from lower average debt balances and lower average interest rates, including from our credit facility and term loans, which accounted for a reduction in interest expense of approximately $19 million, offset, in part, by an increase in interest expense of approximately $8 million from our 5.900% Senior Notes, which were issued in the second quarter of 2024. </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 xml:space="preserve">Equity in earnings of unconsolidated affiliates, net. </w:t>
      </w:r>
      <w:r>
        <w:rPr>
          <w:rFonts w:ascii="Times New Roman;sans-serif" w:hAnsi="Times New Roman;sans-serif"/>
          <w:b w:val="false"/>
          <w:color w:val="000000"/>
          <w:sz w:val="18"/>
        </w:rPr>
        <w:t>For the three month periods ended March 31, 2025 and 2024, equity in earnings from unconsolidated affiliates, net, totaled approximately $10 million and $9 million, respectively, and related primarily to our investments in the Waha JVs.</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Other (income) expense, net.</w:t>
      </w:r>
      <w:r>
        <w:rPr>
          <w:color w:val="000000"/>
        </w:rPr>
        <w:t xml:space="preserve"> </w:t>
      </w:r>
      <w:r>
        <w:rPr>
          <w:rFonts w:ascii="Times New Roman;sans-serif" w:hAnsi="Times New Roman;sans-serif"/>
          <w:b w:val="false"/>
          <w:color w:val="000000"/>
          <w:sz w:val="18"/>
        </w:rPr>
        <w:t>For the three month period ended March 31, 2025, other income, net, included approximately $2 million other miscellaneous income, net and approximately $1 million of income, net, from the changes in the fair value of additional contingent payments to former owners of an acquired business, offset, in part, by approximately, $1 million of expense, from changes to estimated Earn-out accruals. For the three month period ended March 31, 2024, other expense, net, included approximately $6 million of income, net, from changes to estimated Earn-out accruals, approximately $9 million of asset impairment and other valuation adjustments related to certain fixed assets and notes receivable, approximately $1 million of other miscellaneous income, net and approximately $2 million of expense from changes in the fair value of additional contingent payments to the former owners of an acquired business.</w:t>
      </w:r>
    </w:p>
    <w:p>
      <w:pPr>
        <w:pStyle w:val="TextBody"/>
        <w:bidi w:val="0"/>
        <w:spacing w:lineRule="auto" w:line="288" w:before="0" w:after="0"/>
        <w:ind w:left="0" w:right="0" w:firstLine="360"/>
        <w:jc w:val="both"/>
        <w:rPr/>
      </w:pPr>
      <w:r>
        <w:rPr>
          <w:rFonts w:ascii="Times New Roman;sans-serif" w:hAnsi="Times New Roman;sans-serif"/>
          <w:b/>
          <w:i/>
          <w:color w:val="000000"/>
          <w:sz w:val="18"/>
        </w:rPr>
        <w:t xml:space="preserve">Benefit from income taxes. </w:t>
      </w:r>
      <w:r>
        <w:rPr>
          <w:rFonts w:ascii="Times New Roman;sans-serif" w:hAnsi="Times New Roman;sans-serif"/>
          <w:b w:val="false"/>
          <w:color w:val="000000"/>
          <w:sz w:val="18"/>
        </w:rPr>
        <w:t>For the three month period ended March 31, 2025, our effective tax rate was (37.8)% as compared with 24.3% for the same period in 2024. Our effective tax rate for the three month period ended March 31, 2025, included an income tax benefit primarily due to the reversal of uncertain tax position liabilities related to a state audit, offset, in part, by pre-tax income, whereas the same period in 2024 included the effect of an increase in non-deductible expenses.</w:t>
      </w:r>
    </w:p>
    <w:p>
      <w:pPr>
        <w:pStyle w:val="TextBody"/>
        <w:bidi w:val="0"/>
        <w:spacing w:lineRule="auto" w:line="288" w:before="120" w:after="120"/>
        <w:ind w:left="0" w:right="0" w:firstLine="360"/>
        <w:jc w:val="both"/>
        <w:rPr/>
      </w:pPr>
      <w:r>
        <w:rPr>
          <w:rFonts w:ascii="Times New Roman;sans-serif" w:hAnsi="Times New Roman;sans-serif"/>
          <w:b/>
          <w:i/>
          <w:color w:val="000000"/>
          <w:sz w:val="18"/>
        </w:rPr>
        <w:t xml:space="preserve">Net income attributable to non-controlling interests. </w:t>
      </w:r>
      <w:r>
        <w:rPr>
          <w:rFonts w:ascii="Times New Roman;sans-serif" w:hAnsi="Times New Roman;sans-serif"/>
          <w:b w:val="false"/>
          <w:color w:val="000000"/>
          <w:sz w:val="18"/>
        </w:rPr>
        <w:t>Net income attributable to non-controlling interests was $2 million for the three month period ended March 31, 2025, as compared with $7 million for the same period in 2024. The decrease was primarily attributable to the decrease in activity of certain entities with minority interest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jc w:val="both"/>
        <w:rPr>
          <w:rFonts w:ascii="Times New Roman;sans-serif" w:hAnsi="Times New Roman;sans-serif"/>
          <w:b/>
          <w:color w:val="000000"/>
          <w:sz w:val="18"/>
        </w:rPr>
      </w:pPr>
      <w:r>
        <w:rPr>
          <w:rFonts w:ascii="Times New Roman;sans-serif" w:hAnsi="Times New Roman;sans-serif"/>
          <w:b/>
          <w:color w:val="000000"/>
          <w:sz w:val="18"/>
        </w:rPr>
        <w:t>Analysis of Revenue and EBITDA by Segment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review our operating results by reportable segment. See Note 11 – Segments and Related Information in the notes to the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Historical financial information for our reportable segments has been recast to conform with the changes described in Note 11 – Segments and Related Information in the notes to the consolidated financial statements, which is incorporated by reference. The following table, which may contain slight summation differences due to rounding, presents revenue, EBITDA and EBITDA margin by segment for the periods indicated (dollar amounts in millions):</w:t>
      </w:r>
    </w:p>
    <w:tbl>
      <w:tblPr>
        <w:tblW w:w="13956" w:type="dxa"/>
        <w:jc w:val="left"/>
        <w:tblInd w:w="0" w:type="dxa"/>
        <w:tblLayout w:type="fixed"/>
        <w:tblCellMar>
          <w:top w:w="28" w:type="dxa"/>
          <w:left w:w="28" w:type="dxa"/>
          <w:bottom w:w="28" w:type="dxa"/>
          <w:right w:w="28" w:type="dxa"/>
        </w:tblCellMar>
      </w:tblPr>
      <w:tblGrid>
        <w:gridCol w:w="478"/>
        <w:gridCol w:w="419"/>
        <w:gridCol w:w="424"/>
        <w:gridCol w:w="196"/>
        <w:gridCol w:w="691"/>
        <w:gridCol w:w="109"/>
        <w:gridCol w:w="109"/>
        <w:gridCol w:w="109"/>
        <w:gridCol w:w="109"/>
        <w:gridCol w:w="196"/>
        <w:gridCol w:w="691"/>
        <w:gridCol w:w="109"/>
        <w:gridCol w:w="109"/>
        <w:gridCol w:w="109"/>
        <w:gridCol w:w="109"/>
        <w:gridCol w:w="109"/>
        <w:gridCol w:w="109"/>
        <w:gridCol w:w="109"/>
        <w:gridCol w:w="109"/>
        <w:gridCol w:w="196"/>
        <w:gridCol w:w="556"/>
        <w:gridCol w:w="109"/>
        <w:gridCol w:w="109"/>
        <w:gridCol w:w="109"/>
        <w:gridCol w:w="109"/>
        <w:gridCol w:w="240"/>
        <w:gridCol w:w="241"/>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466"/>
        <w:gridCol w:w="109"/>
        <w:gridCol w:w="109"/>
        <w:gridCol w:w="109"/>
        <w:gridCol w:w="109"/>
        <w:gridCol w:w="278"/>
        <w:gridCol w:w="278"/>
        <w:gridCol w:w="256"/>
        <w:gridCol w:w="109"/>
        <w:gridCol w:w="109"/>
        <w:gridCol w:w="109"/>
        <w:gridCol w:w="109"/>
        <w:gridCol w:w="109"/>
        <w:gridCol w:w="109"/>
        <w:gridCol w:w="109"/>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EBITDA and EBITDA Margin</w:t>
            </w:r>
          </w:p>
        </w:tc>
        <w:tc>
          <w:tcPr>
            <w:tcW w:w="3154" w:type="dxa"/>
            <w:gridSpan w:val="20"/>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2024 </w:t>
            </w:r>
            <w:r>
              <w:rPr>
                <w:rFonts w:ascii="Times New Roman;sans-serif" w:hAnsi="Times New Roman;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2024 </w:t>
            </w:r>
            <w:r>
              <w:rPr>
                <w:rFonts w:ascii="Times New Roman;sans-serif" w:hAnsi="Times New Roman;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Pipeline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bidi w:val="0"/>
        <w:spacing w:lineRule="auto" w:line="288" w:before="4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p>
      <w:pPr>
        <w:pStyle w:val="TextBody"/>
        <w:bidi w:val="0"/>
        <w:spacing w:lineRule="auto" w:line="288" w:before="180" w:after="120"/>
        <w:jc w:val="both"/>
        <w:rPr>
          <w:rFonts w:ascii="Times New Roman;sans-serif" w:hAnsi="Times New Roman;sans-serif"/>
          <w:b/>
          <w:i/>
          <w:color w:val="000000"/>
          <w:sz w:val="18"/>
        </w:rPr>
      </w:pPr>
      <w:r>
        <w:rPr>
          <w:rFonts w:ascii="Times New Roman;sans-serif" w:hAnsi="Times New Roman;sans-serif"/>
          <w:b/>
          <w:i/>
          <w:color w:val="000000"/>
          <w:sz w:val="18"/>
        </w:rPr>
        <w:t>Communications Segment Results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 xml:space="preserve">Revenue. </w:t>
      </w:r>
      <w:r>
        <w:rPr>
          <w:rFonts w:ascii="Times New Roman;sans-serif" w:hAnsi="Times New Roman;sans-serif"/>
          <w:b w:val="false"/>
          <w:color w:val="000000"/>
          <w:sz w:val="18"/>
        </w:rPr>
        <w:t>The increase in revenue was driven primarily by higher levels of wireless and wireline project activity, offset, in part, by a decrease in our install-to-the-home project activity due, in part, to changes in consumer behavior resulting in lower demand.</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 xml:space="preserve">EBITDA. </w:t>
      </w:r>
      <w:r>
        <w:rPr>
          <w:rFonts w:ascii="Times New Roman;sans-serif" w:hAnsi="Times New Roman;sans-serif"/>
          <w:b w:val="false"/>
          <w:color w:val="000000"/>
          <w:sz w:val="18"/>
        </w:rPr>
        <w:t>As a percentage of revenue, EBITDA increased by approximately 180 basis points, or $12 million, due to improved efficiencies, including from our wireless and wireline businesses. Higher levels of revenue resulted in an increase in EBITDA of approximately $9 million.</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Clean Energy and Infrastructure Segment Results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Revenue</w:t>
      </w:r>
      <w:r>
        <w:rPr>
          <w:rFonts w:ascii="Times New Roman;sans-serif" w:hAnsi="Times New Roman;sans-serif"/>
          <w:b/>
          <w:color w:val="000000"/>
          <w:sz w:val="18"/>
        </w:rPr>
        <w:t xml:space="preserve">. </w:t>
      </w:r>
      <w:r>
        <w:rPr>
          <w:rFonts w:ascii="Times New Roman;sans-serif" w:hAnsi="Times New Roman;sans-serif"/>
          <w:b w:val="false"/>
          <w:color w:val="000000"/>
          <w:sz w:val="18"/>
        </w:rPr>
        <w:t>The increase in revenue was due primarily to higher levels of project activity and mix, primarily in our renewable, heavy civil and other infrastructure projects.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EBITDA.</w:t>
      </w:r>
      <w:r>
        <w:rPr>
          <w:color w:val="000000"/>
        </w:rPr>
        <w:t xml:space="preserve"> </w:t>
      </w:r>
      <w:r>
        <w:rPr>
          <w:rFonts w:ascii="Times New Roman;sans-serif" w:hAnsi="Times New Roman;sans-serif"/>
          <w:b w:val="false"/>
          <w:color w:val="000000"/>
          <w:sz w:val="18"/>
        </w:rPr>
        <w:t>As a percentage of revenue, EBITDA increased by approximately 350 basis points, or $32 million, due to a combination of project mix, improved productivity and efficiencies, primarily from certain renewable and infrastructure project work. Higher levels of revenue resulted in an increase in EBITDA of approximately $4 million.</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Power Delivery Segment Results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Revenue</w:t>
      </w:r>
      <w:r>
        <w:rPr>
          <w:rFonts w:ascii="Times New Roman;sans-serif" w:hAnsi="Times New Roman;sans-serif"/>
          <w:b/>
          <w:color w:val="000000"/>
          <w:sz w:val="18"/>
        </w:rPr>
        <w:t xml:space="preserve">. </w:t>
      </w: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18"/>
        </w:rPr>
        <w:t>increase in revenue was due primarily to higher levels of project activity, including timing-related increases in transmission and distribution-related project work and, to a lesser extent, an increase in substation-related project work.</w:t>
      </w:r>
    </w:p>
    <w:p>
      <w:pPr>
        <w:pStyle w:val="TextBody"/>
        <w:bidi w:val="0"/>
        <w:spacing w:lineRule="auto" w:line="288" w:before="120" w:after="120"/>
        <w:ind w:left="0" w:right="0" w:firstLine="720"/>
        <w:jc w:val="both"/>
        <w:rPr/>
      </w:pPr>
      <w:r>
        <w:rPr>
          <w:rFonts w:ascii="Times New Roman;sans-serif" w:hAnsi="Times New Roman;sans-serif"/>
          <w:b/>
          <w:i/>
          <w:color w:val="000000"/>
          <w:sz w:val="18"/>
          <w:shd w:fill="FFFFFF" w:val="clear"/>
        </w:rPr>
        <w:t xml:space="preserve">EBITDA. </w:t>
      </w:r>
      <w:r>
        <w:rPr>
          <w:rFonts w:ascii="Times New Roman;sans-serif" w:hAnsi="Times New Roman;sans-serif"/>
          <w:b w:val="false"/>
          <w:color w:val="000000"/>
          <w:sz w:val="18"/>
        </w:rPr>
        <w:t>As a percentage of revenue, EBITDA decreased by approximately 60 basis points, or $6 million, primarily due to reduced efficiencies at certain of our project sites, whereas higher levels of revenue resulted in an increase in EBITDA of approximately $6 million.</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Pipeline Infrastructure Segment Results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Revenue</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 xml:space="preserve">The decrease in revenue was due primarily to expected lower levels of project activity, including from large-diameter and midstream project activity, offset, in part, by an increase in other infrastructure-related work. </w:t>
      </w:r>
    </w:p>
    <w:p>
      <w:pPr>
        <w:pStyle w:val="TextBody"/>
        <w:bidi w:val="0"/>
        <w:spacing w:lineRule="auto" w:line="288" w:before="120" w:after="120"/>
        <w:ind w:left="0" w:right="0" w:firstLine="720"/>
        <w:jc w:val="both"/>
        <w:rPr/>
      </w:pPr>
      <w:r>
        <w:rPr>
          <w:rFonts w:ascii="Times New Roman;sans-serif" w:hAnsi="Times New Roman;sans-serif"/>
          <w:b/>
          <w:i/>
          <w:color w:val="000000"/>
          <w:sz w:val="18"/>
          <w:shd w:fill="FFFFFF" w:val="clear"/>
        </w:rPr>
        <w:t xml:space="preserve">EBITDA. </w:t>
      </w:r>
      <w:r>
        <w:rPr>
          <w:rFonts w:ascii="Times New Roman;sans-serif" w:hAnsi="Times New Roman;sans-serif"/>
          <w:b w:val="false"/>
          <w:color w:val="000000"/>
          <w:sz w:val="18"/>
        </w:rPr>
        <w:t>As a percentage of revenue, EBITDA decreased by approximately 210 basis points, or $8 million, due primarily to reduced efficiencies, including from a reduction in revenue on large-diameter pipeline projects, as well as the effects of project mix. Lower levels of revenue contributed a decrease in EBITDA of approximately $41 million.</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Other Segment Results</w:t>
      </w:r>
    </w:p>
    <w:p>
      <w:pPr>
        <w:pStyle w:val="TextBody"/>
        <w:bidi w:val="0"/>
        <w:spacing w:lineRule="auto" w:line="288" w:before="120" w:after="120"/>
        <w:ind w:left="0" w:right="0" w:firstLine="720"/>
        <w:jc w:val="both"/>
        <w:rPr/>
      </w:pPr>
      <w:r>
        <w:rPr>
          <w:rFonts w:ascii="Times New Roman;sans-serif" w:hAnsi="Times New Roman;sans-serif"/>
          <w:b/>
          <w:i/>
          <w:color w:val="000000"/>
          <w:sz w:val="18"/>
          <w:shd w:fill="FFFFFF" w:val="clear"/>
        </w:rPr>
        <w:t xml:space="preserve">EBITDA. </w:t>
      </w:r>
      <w:r>
        <w:rPr>
          <w:rFonts w:ascii="Times New Roman;sans-serif" w:hAnsi="Times New Roman;sans-serif"/>
          <w:b w:val="false"/>
          <w:color w:val="000000"/>
          <w:sz w:val="18"/>
        </w:rPr>
        <w:t>EBITDA from Other businesses relates primarily to equity in earnings from our investments in the Waha JVs.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Corporate Results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 xml:space="preserve">EBITDA. </w:t>
      </w:r>
      <w:r>
        <w:rPr>
          <w:rFonts w:ascii="Times New Roman;sans-serif" w:hAnsi="Times New Roman;sans-serif"/>
          <w:b w:val="false"/>
          <w:color w:val="000000"/>
          <w:sz w:val="18"/>
        </w:rPr>
        <w:t xml:space="preserve">For the three month period ended March 31, 2025, Corporate EBITDA included approximately $1 million of expense, net, from changes to estimated Earn-out accruals and approximately $1 million of income, net, from the changes in the fair value of additional contingent payments to former owners of an acquired business. For the three month period ended March 31, 2024, Corporate EBITDA included approximately $6 million of income, net, from changes to estimated Earn-out accruals, $2 million of expense from changes in the fair value of additional contingent payments to the former owners of an acquired business and the negative effect of a $2 million other valuation adjustment. Corporate expenses for the three month period ended March 31, 2025 not related to the above-described items, which were generally flat as compared with the same period in 2024, included the effects of timing of ordinary course legal and other settlement matters, offset, in part, by a decrease in information technology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Non-U.S. GAAP Financial Measures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appropriate, we supplement our reported U.S. GAAP financial information with certain non-U.S. GAAP financial measures, including earnings before interest, income taxes, depreciation and amortization (“EBITDA”), adjusted EBITDA (“Adjusted EBITDA”), adjusted net income (loss) (“Adjusted Net Income (Loss)”), adjusted net income (loss) attributable to MasTec, Inc. (“Adjusted Net Income (Loss) Attributable to MasTec, Inc.”) and adjusted diluted earnings (loss) per share (“Adjusted Diluted Earnings (Loss) Per Share”). These “adjusted” non-U.S. GAAP measures exclude, as applicable to the respective periods, non-cash stock-based compensation expense and changes in fair value of acquisition-related contingent items, as more fully described below; and, for Adjusted Net Income (Loss), Adjusted Net Income (Loss) Attributable to MasTec, Inc. and Adjusted Diluted Earnings (Loss)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use EBITDA and Adjusted EBITDA, as well as Adjusted Net Income (Loss), Adjusted Net Income (Loss) Attributable to MasTec, Inc. and Adjusted Diluted Earnings (Loss)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 can be subject to volatility from changes in the market price per share of our common stock or variations in the value and number of shares granted. We also exclude intangible asset amortization and the effects of changes in fair value of acquisition-related contingent items from our non-U.S. GAAP financial measures due to their non-operational nature and inherent volatility, as activity, including from acquisitions, varies from period to period. Note that while intangible asset amortization related to the assets of acquired entities is excluded from our non-U.S. GAAP financial measures, the revenue and all other expenses of the acquired entities are included within our non-U.S. GAAP financial measures, unless otherwise stated.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are contingent upon the post-acquisition collections of certain receivables. We believe that this presentation is common practice within our industry and improves comparability of our results with those of our peers.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(loss) or diluted earnings (loss)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a reconciliation of net income (loss) to EBITDA and Adjusted EBITDA in dollar and percentage of revenue terms for the periods indicated. The tables below (dollar amounts in millions) may contain slight summation differences due to rounding.</w:t>
      </w:r>
    </w:p>
    <w:tbl>
      <w:tblPr>
        <w:tblW w:w="9381" w:type="dxa"/>
        <w:jc w:val="left"/>
        <w:tblInd w:w="0" w:type="dxa"/>
        <w:tblLayout w:type="fixed"/>
        <w:tblCellMar>
          <w:top w:w="28" w:type="dxa"/>
          <w:left w:w="28" w:type="dxa"/>
          <w:bottom w:w="28" w:type="dxa"/>
          <w:right w:w="28" w:type="dxa"/>
        </w:tblCellMar>
      </w:tblPr>
      <w:tblGrid>
        <w:gridCol w:w="1577"/>
        <w:gridCol w:w="1382"/>
        <w:gridCol w:w="1390"/>
        <w:gridCol w:w="196"/>
        <w:gridCol w:w="556"/>
        <w:gridCol w:w="109"/>
        <w:gridCol w:w="109"/>
        <w:gridCol w:w="109"/>
        <w:gridCol w:w="109"/>
        <w:gridCol w:w="224"/>
        <w:gridCol w:w="226"/>
        <w:gridCol w:w="256"/>
        <w:gridCol w:w="109"/>
        <w:gridCol w:w="109"/>
        <w:gridCol w:w="109"/>
        <w:gridCol w:w="196"/>
        <w:gridCol w:w="556"/>
        <w:gridCol w:w="109"/>
        <w:gridCol w:w="109"/>
        <w:gridCol w:w="109"/>
        <w:gridCol w:w="109"/>
        <w:gridCol w:w="224"/>
        <w:gridCol w:w="226"/>
        <w:gridCol w:w="256"/>
        <w:gridCol w:w="109"/>
        <w:gridCol w:w="109"/>
        <w:gridCol w:w="109"/>
        <w:gridCol w:w="109"/>
        <w:gridCol w:w="109"/>
        <w:gridCol w:w="109"/>
        <w:gridCol w:w="109"/>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 Reconciliation:</w:t>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acquisition-related contingent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reconciliation of EBITDA and EBITDA margin to Adjusted EBITDA and Adjusted EBITDA margin by segment for the periods indicated is as follows: </w:t>
      </w:r>
    </w:p>
    <w:tbl>
      <w:tblPr>
        <w:tblW w:w="9624" w:type="dxa"/>
        <w:jc w:val="left"/>
        <w:tblInd w:w="0" w:type="dxa"/>
        <w:tblLayout w:type="fixed"/>
        <w:tblCellMar>
          <w:top w:w="28" w:type="dxa"/>
          <w:left w:w="28" w:type="dxa"/>
          <w:bottom w:w="28" w:type="dxa"/>
          <w:right w:w="28" w:type="dxa"/>
        </w:tblCellMar>
      </w:tblPr>
      <w:tblGrid>
        <w:gridCol w:w="1651"/>
        <w:gridCol w:w="1448"/>
        <w:gridCol w:w="1461"/>
        <w:gridCol w:w="196"/>
        <w:gridCol w:w="556"/>
        <w:gridCol w:w="109"/>
        <w:gridCol w:w="109"/>
        <w:gridCol w:w="109"/>
        <w:gridCol w:w="109"/>
        <w:gridCol w:w="232"/>
        <w:gridCol w:w="234"/>
        <w:gridCol w:w="256"/>
        <w:gridCol w:w="109"/>
        <w:gridCol w:w="109"/>
        <w:gridCol w:w="109"/>
        <w:gridCol w:w="196"/>
        <w:gridCol w:w="556"/>
        <w:gridCol w:w="109"/>
        <w:gridCol w:w="109"/>
        <w:gridCol w:w="109"/>
        <w:gridCol w:w="109"/>
        <w:gridCol w:w="232"/>
        <w:gridCol w:w="234"/>
        <w:gridCol w:w="256"/>
        <w:gridCol w:w="109"/>
        <w:gridCol w:w="109"/>
        <w:gridCol w:w="109"/>
        <w:gridCol w:w="109"/>
        <w:gridCol w:w="109"/>
        <w:gridCol w:w="109"/>
        <w:gridCol w:w="109"/>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2024 </w:t>
            </w:r>
            <w:r>
              <w:rPr>
                <w:rFonts w:ascii="Times New Roman;sans-serif" w:hAnsi="Times New Roman;sans-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Non-cash stock-based compensation expense</w:t>
            </w:r>
            <w:r>
              <w:rPr>
                <w:color w:val="000000"/>
              </w:rPr>
              <w:t xml:space="preserve"> </w:t>
            </w:r>
            <w:r>
              <w:rPr>
                <w:rFonts w:ascii="Times New Roman;sans-serif" w:hAnsi="Times New Roman;sans-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Changes in fair value of acquisition-related contingent items</w:t>
            </w:r>
            <w:r>
              <w:rPr>
                <w:color w:val="000000"/>
              </w:rPr>
              <w:t xml:space="preserve"> </w:t>
            </w:r>
            <w:r>
              <w:rPr>
                <w:rFonts w:ascii="Times New Roman;sans-serif" w:hAnsi="Times New Roman;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Pipeline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bidi w:val="0"/>
        <w:spacing w:lineRule="auto" w:line="288" w:before="4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Recast to reflect segment changes.</w:t>
      </w:r>
    </w:p>
    <w:p>
      <w:pPr>
        <w:pStyle w:val="TextBody"/>
        <w:bidi w:val="0"/>
        <w:spacing w:lineRule="auto" w:line="288" w:before="4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    Non-cash stock-based compensation expense and changes in fair value of acquisition-related contingent items are included within Corporate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tables below, which may contain slight summation differences due to rounding, reconcile reported net income (loss) and reported diluted earnings (loss) per share, the most directly comparable U.S. GAAP financial measures, to Adjusted Net Income (Loss), Adjusted Net Income (Loss) Attributable to MasTec, Inc. and Adjusted Diluted Earnings (Loss) Per Share.</w:t>
      </w:r>
    </w:p>
    <w:tbl>
      <w:tblPr>
        <w:tblW w:w="7453" w:type="dxa"/>
        <w:jc w:val="left"/>
        <w:tblInd w:w="0" w:type="dxa"/>
        <w:tblLayout w:type="fixed"/>
        <w:tblCellMar>
          <w:top w:w="28" w:type="dxa"/>
          <w:left w:w="28" w:type="dxa"/>
          <w:bottom w:w="28" w:type="dxa"/>
          <w:right w:w="28" w:type="dxa"/>
        </w:tblCellMar>
      </w:tblPr>
      <w:tblGrid>
        <w:gridCol w:w="1571"/>
        <w:gridCol w:w="1385"/>
        <w:gridCol w:w="1394"/>
        <w:gridCol w:w="264"/>
        <w:gridCol w:w="629"/>
        <w:gridCol w:w="147"/>
        <w:gridCol w:w="147"/>
        <w:gridCol w:w="147"/>
        <w:gridCol w:w="147"/>
        <w:gridCol w:w="264"/>
        <w:gridCol w:w="730"/>
        <w:gridCol w:w="147"/>
        <w:gridCol w:w="109"/>
        <w:gridCol w:w="109"/>
        <w:gridCol w:w="109"/>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acquisition-related contingent items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(loss) attributable to MasTec, Inc.</w:t>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452" w:type="dxa"/>
        <w:jc w:val="left"/>
        <w:tblInd w:w="0" w:type="dxa"/>
        <w:tblLayout w:type="fixed"/>
        <w:tblCellMar>
          <w:top w:w="28" w:type="dxa"/>
          <w:left w:w="28" w:type="dxa"/>
          <w:bottom w:w="28" w:type="dxa"/>
          <w:right w:w="28" w:type="dxa"/>
        </w:tblCellMar>
      </w:tblPr>
      <w:tblGrid>
        <w:gridCol w:w="1575"/>
        <w:gridCol w:w="1382"/>
        <w:gridCol w:w="1392"/>
        <w:gridCol w:w="264"/>
        <w:gridCol w:w="629"/>
        <w:gridCol w:w="147"/>
        <w:gridCol w:w="147"/>
        <w:gridCol w:w="147"/>
        <w:gridCol w:w="147"/>
        <w:gridCol w:w="264"/>
        <w:gridCol w:w="730"/>
        <w:gridCol w:w="147"/>
        <w:gridCol w:w="109"/>
        <w:gridCol w:w="109"/>
        <w:gridCol w:w="109"/>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acquisition-related contingent items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(loss) per share</w:t>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(loss). For the three month periods ended March 31, 2025 and 2024, our consolidated tax amounts were benefits, with effective tax rates, as reported, of (37.8)% and 24.3%, respectively, and as adjusted, were an expense and a benefit, for the respective periods, with effective tax rates of 12.4% and 0.4%, respectively. See Note 10 – Income Taxes in the notes to the consolidated financial statements, which is incorporated by reference, for additional information regarding our consolidated tax amounts and effective tax rates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 xml:space="preserve">Financial Condition, Liquidity and Capital Resources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 </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Capital Expenditures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For the three month period ended March 31, 2025, we spent approximately $47 million on capital expenditures, or $33 million, net of asset disposals, and incurred approximately $64 million of equipment purchases under finance leases and other financing arrangements. We estimate that we will spend approximately $170 million on capital expenditures, or approximately $120 million, net of asset disposals, in 2025, and we expect to incur approximately $180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Acquisitions and Earn-Out Liabilities.</w:t>
      </w:r>
      <w:r>
        <w:rPr>
          <w:color w:val="000000"/>
        </w:rPr>
        <w:t xml:space="preserve"> </w:t>
      </w:r>
      <w:r>
        <w:rPr>
          <w:rFonts w:ascii="Times New Roman;sans-serif" w:hAnsi="Times New Roman;sans-serif"/>
          <w:b w:val="false"/>
          <w:color w:val="000000"/>
          <w:sz w:val="18"/>
        </w:rPr>
        <w:t>We typically utilize cash for business acquisitions and other strategic arrangements. In addition, in most of our acquisitions, we have agreed to make future payments to the sellers that are contingent upon the future earnings performance of the 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March 31, 2025 was approximately $113 million. Of this amount, approximately $35 million represents the liability for earned amounts. The remainder is management’s estimate of Earn-out liabilities that are contingent upon future performance. For the three month period ended March 31, 2025, payments related to our Earn-out liabilities totaled $0.5 million, and for the three month period ended March 31, 2024, we made no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Income Taxes.</w:t>
      </w:r>
      <w:r>
        <w:rPr>
          <w:color w:val="000000"/>
        </w:rPr>
        <w:t xml:space="preserve"> </w:t>
      </w:r>
      <w:r>
        <w:rPr>
          <w:rFonts w:ascii="Times New Roman;sans-serif" w:hAnsi="Times New Roman;sans-serif"/>
          <w:b w:val="false"/>
          <w:color w:val="000000"/>
          <w:sz w:val="18"/>
        </w:rPr>
        <w:t>For the three month periods ended March 31, 2025 and 2024, tax refunds, net of tax payments totaled approximately $2 million and $4 million, respectively. Our tax payments vary with changes in taxable income and earnings based on estimates of full year taxable income activity and estimated tax rates.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Working Capital.</w:t>
      </w:r>
      <w:r>
        <w:rPr>
          <w:color w:val="000000"/>
        </w:rPr>
        <w:t xml:space="preserve"> </w:t>
      </w:r>
      <w:r>
        <w:rPr>
          <w:rFonts w:ascii="Times New Roman;sans-serif" w:hAnsi="Times New Roman;sans-serif"/>
          <w:b w:val="false"/>
          <w:color w:val="000000"/>
          <w:sz w:val="18"/>
        </w:rPr>
        <w:t>We need working capital to support seasonal and other variations in our business, primarily related to the effects of weather conditions on 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March 31, 2025, we expect that substantially all of our unbilled receivables will be billed to customers in the normal course of business within the next twelve months. Total accounts receivable, which consists of contract billings, unbilled receivables and retainage, net of allowance, were generally flat at approximately $2.9 billion as of both March 31, 2025 and December 31, 2024.</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45 days. Our agreements with subcontractors often contain a “pay-if-paid” provision, whereby our payments are contractually due to subcontractors only after we are paid by our customers.</w:t>
      </w:r>
    </w:p>
    <w:p>
      <w:pPr>
        <w:pStyle w:val="TextBody"/>
        <w:bidi w:val="0"/>
        <w:spacing w:lineRule="auto" w:line="288" w:before="120" w:after="120"/>
        <w:ind w:left="0" w:right="0" w:hanging="360"/>
        <w:jc w:val="both"/>
        <w:rPr>
          <w:rFonts w:ascii="Times New Roman;sans-serif" w:hAnsi="Times New Roman;sans-serif"/>
          <w:b/>
          <w:color w:val="000000"/>
          <w:sz w:val="18"/>
        </w:rPr>
      </w:pPr>
      <w:r>
        <w:rPr>
          <w:rFonts w:ascii="Times New Roman;sans-serif" w:hAnsi="Times New Roman;sans-serif"/>
          <w:b/>
          <w:color w:val="000000"/>
          <w:sz w:val="18"/>
        </w:rPr>
        <w:t>Summary of Financial Condition, Liquidity and Capital Resources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Sources and Uses of Cash</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we had approximately $636 million in working capital, defined as current assets less current liabilities, as compared with $653 million as of December 31, 2024, a decrease of approximately $17 million. Cash and cash equivalents totaled approximately $346 million and $400 million as of March 31, 2025 and December 31, 2024, respectively, for a decrease of $54 million. See discussion below for further detail regarding our cash flows and related activity.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Sources and uses of cash are summarized below (in millions):</w:t>
      </w:r>
    </w:p>
    <w:tbl>
      <w:tblPr>
        <w:tblW w:w="5667" w:type="dxa"/>
        <w:jc w:val="left"/>
        <w:tblInd w:w="0" w:type="dxa"/>
        <w:tblLayout w:type="fixed"/>
        <w:tblCellMar>
          <w:top w:w="28" w:type="dxa"/>
          <w:left w:w="28" w:type="dxa"/>
          <w:bottom w:w="28" w:type="dxa"/>
          <w:right w:w="28" w:type="dxa"/>
        </w:tblCellMar>
      </w:tblPr>
      <w:tblGrid>
        <w:gridCol w:w="1087"/>
        <w:gridCol w:w="952"/>
        <w:gridCol w:w="960"/>
        <w:gridCol w:w="243"/>
        <w:gridCol w:w="670"/>
        <w:gridCol w:w="135"/>
        <w:gridCol w:w="135"/>
        <w:gridCol w:w="135"/>
        <w:gridCol w:w="135"/>
        <w:gridCol w:w="243"/>
        <w:gridCol w:w="782"/>
        <w:gridCol w:w="190"/>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pPr>
      <w:r>
        <w:rPr>
          <w:rFonts w:ascii="Times New Roman;sans-serif" w:hAnsi="Times New Roman;sans-serif"/>
          <w:b/>
          <w:i/>
          <w:color w:val="000000"/>
          <w:sz w:val="18"/>
        </w:rPr>
        <w:t>Operating Activities.</w:t>
      </w:r>
      <w:r>
        <w:rPr>
          <w:color w:val="000000"/>
        </w:rPr>
        <w:t xml:space="preserve"> </w:t>
      </w:r>
      <w:r>
        <w:rPr>
          <w:rFonts w:ascii="Times New Roman;sans-serif" w:hAnsi="Times New Roman;sans-serif"/>
          <w:b w:val="false"/>
          <w:color w:val="000000"/>
          <w:sz w:val="18"/>
        </w:rPr>
        <w:t>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three month period ended March 31, 2025 was $78 million, as compared with $108 million of net cash provided by operating activities for the same period in 2024, for a decrease in net cash provided by operating activities of approximately $29 million, due, in part, to the effect of net decreases in expenses that reconcile net income to operating cash flows, including a decrease in depreciation expense, changes in working capital compared with the prior period, including from the negative effect of timing-related changes in accounts receivable, net and contract liabilities, offset, in part, by the positive effect of timing-related changes in accounts payable and accrued expenses, and an increase in net income as compared with the prior period.</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Days sales outstanding, net of contract liabilities, which we refer to as “DSO,”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66 as of March 31, 2025 as compared with DSO of 60 as of December 31, 2024. Our DSOs can fluctuate from period to period due to timing of billings, billing terms, collections and settlements, timing of project close-outs and retainage collections, changes in project and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mix and to a lesser extent the effect of working capital initiatives, including certain accounts receivable financing arrangements. The increase in DSO as of March 31, 2025 as compared with December 31, 2024 was due to timing of ordinary course billing and collection activities, as well as the effects of lower levels of quarterly revenue.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Investing Activities.</w:t>
      </w:r>
      <w:r>
        <w:rPr>
          <w:color w:val="000000"/>
        </w:rPr>
        <w:t xml:space="preserve"> </w:t>
      </w:r>
      <w:r>
        <w:rPr>
          <w:rFonts w:ascii="Times New Roman;sans-serif" w:hAnsi="Times New Roman;sans-serif"/>
          <w:b w:val="false"/>
          <w:color w:val="000000"/>
          <w:sz w:val="18"/>
        </w:rPr>
        <w:t xml:space="preserve">Net cash used in investing activities increased by approximately $22 million to $35 million for the three month period ended March 31, 2025 from $13 million for the same period in 2024. Capital expenditures totaled $47 million, or $33 million, net of asset disposals, for the three month period ended March 31, 2025, as compared with $25 million, or $15 million, net of asset disposals, for the same period in 2024, for an increase in cash used in investing activities of approximately $19 million, due primarily to timing of equipment purchases, as well as an expected increase in capital expenditures in 2025. </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Financing Activities.</w:t>
      </w:r>
      <w:r>
        <w:rPr>
          <w:color w:val="000000"/>
        </w:rPr>
        <w:t xml:space="preserve"> </w:t>
      </w:r>
      <w:r>
        <w:rPr>
          <w:rFonts w:ascii="Times New Roman;sans-serif" w:hAnsi="Times New Roman;sans-serif"/>
          <w:b w:val="false"/>
          <w:color w:val="000000"/>
          <w:sz w:val="18"/>
        </w:rPr>
        <w:t xml:space="preserve">Net cash used in financing activities for the three month period ended March 31, 2025 was $98 million, as compared with $375 million for the same period in 2024, for a decrease in cash used in financing activities of approximately $277 million. The decrease was primarily due to repayments, net of borrowings, of our credit facility and term loans, which decreased by $312 million for the three month period ended March 31, 2025 as compared with the same period in 2024. The decrease in cash used in financing activities from above was offset, in part, by share repurchases which totaled approximately $37 million for the three month period ended March 31, 2025, of which approximately $10 million was settled in April 2025, for a net effect on cash used in financing activities of $27 million for the three month period ended March 31, 2025. There were no share repurchases for the three month period ended March 31, 2024. Payments of finance lease obligations increased by approximately $3 million in 2025 as compared with 2024 and payments for other financing activities, net, totaled $7.3 million for the three month period ended March 31, 2025, and included payments for other borrowing activities, as compared with $4.6 million for the same period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both"/>
        <w:rPr>
          <w:rFonts w:ascii="Times New Roman;sans-serif" w:hAnsi="Times New Roman;sans-serif"/>
          <w:b/>
          <w:i/>
          <w:color w:val="000000"/>
          <w:sz w:val="18"/>
        </w:rPr>
      </w:pPr>
      <w:r>
        <w:rPr>
          <w:rFonts w:ascii="Times New Roman;sans-serif" w:hAnsi="Times New Roman;sans-serif"/>
          <w:b/>
          <w:i/>
          <w:color w:val="000000"/>
          <w:sz w:val="18"/>
        </w:rPr>
        <w:t xml:space="preserve">Senior Credit Facility </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We have a </w:t>
      </w:r>
      <w:r>
        <w:rPr>
          <w:rFonts w:ascii="Times New Roman;sans-serif" w:hAnsi="Times New Roman;sans-serif"/>
          <w:b w:val="false"/>
          <w:color w:val="000000"/>
          <w:sz w:val="18"/>
          <w:shd w:fill="FFFFFF" w:val="clear"/>
        </w:rPr>
        <w:t xml:space="preserve">$2.25 billion </w:t>
      </w:r>
      <w:r>
        <w:rPr>
          <w:rFonts w:ascii="Times New Roman;sans-serif" w:hAnsi="Times New Roman;sans-serif"/>
          <w:b w:val="false"/>
          <w:color w:val="000000"/>
          <w:sz w:val="18"/>
        </w:rPr>
        <w:t xml:space="preserve">senior unsecured credit facility (as amended from time to time, the “Credit Facility”), which is composed of </w:t>
      </w:r>
      <w:r>
        <w:rPr>
          <w:rFonts w:ascii="Times New Roman;sans-serif" w:hAnsi="Times New Roman;sans-serif"/>
          <w:b w:val="false"/>
          <w:color w:val="000000"/>
          <w:sz w:val="18"/>
          <w:shd w:fill="FFFFFF" w:val="clear"/>
        </w:rPr>
        <w:t xml:space="preserve">$1.9 billion of revolving commitments and a Term Loan with an original principal amount of $350 million, and </w:t>
      </w:r>
      <w:r>
        <w:rPr>
          <w:rFonts w:ascii="Times New Roman;sans-serif" w:hAnsi="Times New Roman;sans-serif"/>
          <w:b w:val="false"/>
          <w:color w:val="000000"/>
          <w:sz w:val="18"/>
        </w:rPr>
        <w:t xml:space="preserve">matures on November 1, 2026. As of March 31, 2025, aggregate outstanding revolving borrowings totaled approximately $40 million and availability for revolving loans totaled </w:t>
      </w:r>
      <w:r>
        <w:rPr>
          <w:rFonts w:ascii="Times New Roman;sans-serif" w:hAnsi="Times New Roman;sans-serif"/>
          <w:b w:val="false"/>
          <w:color w:val="000000"/>
          <w:sz w:val="18"/>
          <w:shd w:fill="FFFFFF" w:val="clear"/>
        </w:rPr>
        <w:t>$1,811 million</w:t>
      </w:r>
      <w:r>
        <w:rPr>
          <w:rFonts w:ascii="Times New Roman;sans-serif" w:hAnsi="Times New Roman;sans-serif"/>
          <w:b w:val="false"/>
          <w:color w:val="000000"/>
          <w:sz w:val="18"/>
        </w:rPr>
        <w:t xml:space="preserve">. </w:t>
      </w:r>
      <w:r>
        <w:rPr>
          <w:rFonts w:ascii="Times New Roman;sans-serif" w:hAnsi="Times New Roman;sans-serif"/>
          <w:b w:val="false"/>
          <w:color w:val="000000"/>
          <w:sz w:val="18"/>
          <w:shd w:fill="FFFFFF" w:val="clear"/>
        </w:rPr>
        <w:t xml:space="preserve">Borrowings under our Credit Facility are used for working capital requirements, capital expenditures and other corporate purposes, including acquisitions, </w:t>
      </w:r>
      <w:r>
        <w:rPr>
          <w:rFonts w:ascii="Times New Roman;sans-serif" w:hAnsi="Times New Roman;sans-serif"/>
          <w:b w:val="false"/>
          <w:color w:val="000000"/>
          <w:sz w:val="18"/>
        </w:rPr>
        <w:t>equity investments or other strategic arrangements, and/or the repurchase or prepayment of indebtedness, among other corporate borrowing requirements, including potential share repurchases</w:t>
      </w:r>
      <w:r>
        <w:rPr>
          <w:rFonts w:ascii="Times New Roman;sans-serif" w:hAnsi="Times New Roman;sans-serif"/>
          <w:b w:val="false"/>
          <w:color w:val="000000"/>
          <w:sz w:val="18"/>
          <w:shd w:fill="FFFFFF" w:val="clear"/>
        </w:rPr>
        <w: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2024 Form 10-K. </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Senior Notes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senior notes include $600 million aggregate principal amount of 4.500% senior unsecured notes due August 15, 2028 (the “4.500% Senior Notes”), $550 million aggregate principal amount of 5.900% senior unsecured notes due June 15, 2029 (the “5.900% Senior Notes”) and $75 million aggregate principal amount of 6.625% senior unsecured notes due August 15, 2029 (the “6.625% Senior Notes”). Our senior notes are subject to certain provisions and covenants, as more fully described in Note 7 – Debt in the notes to the audited consolidated financial statements included in our 2024 Form 10-K.</w:t>
      </w:r>
    </w:p>
    <w:p>
      <w:pPr>
        <w:pStyle w:val="TextBody"/>
        <w:bidi w:val="0"/>
        <w:spacing w:lineRule="auto" w:line="288" w:before="120" w:after="120"/>
        <w:ind w:left="0" w:right="0" w:hanging="360"/>
        <w:jc w:val="both"/>
        <w:rPr>
          <w:rFonts w:ascii="Times New Roman;sans-serif" w:hAnsi="Times New Roman;sans-serif"/>
          <w:b/>
          <w:i/>
          <w:color w:val="000000"/>
          <w:sz w:val="18"/>
        </w:rPr>
      </w:pPr>
      <w:r>
        <w:rPr>
          <w:rFonts w:ascii="Times New Roman;sans-serif" w:hAnsi="Times New Roman;sans-serif"/>
          <w:b/>
          <w:i/>
          <w:color w:val="000000"/>
          <w:sz w:val="18"/>
        </w:rPr>
        <w:t>Five-Year Term Loan Facility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we had $281 million outstanding of an unsecured five-year term loan (the “Five-Year Term Loan”) that is due October 7, 2027. The Five-Year Term Loan is subject to certain provisions and covenants, as more fully described in Note 7 – Debt in the notes to the audited consolidated financial statements included in our 2024 Form 10-K.</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Debt Covenants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were in compliance with the provisions and covenants contained in our outstanding debt instruments as of March 31, 2025, and we expect to be in compliance with these provisions and covenants for the next twelve months.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detailed discussion and additional information pertaining to our debt instruments, see Note 7 – Debt in the notes to the audited consolidated financial statements included in our 2024 Form 10-K. Also, see Note 6 – Debt in the notes to the consolidated financial statements in this Form 10-Q, which is incorporated by reference, for current period balances, rates of interest and related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12 – Commitments and Contingencies and Note 13 – Related Party Transactions in the notes to the consolidated financial statements in this Form 10-Q, which are incorporated by reference, and see Management’s Discussion and Analysis of Financial Condition and Results of Operations contained in our 2024 Form 10-K for additional information related to our 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Impact of Inflation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Over the past years, inflation, supply chain and labor constraints have had a significant impact on the global economy, including on the construction industry in the United States. As described above under “General Economic, Market and Regulatory Conditions,” although the Federal Reserve decreased the Federal Funds rate periodically since September, there continues to be uncertainty as to the Federal Reserve’s future actions caused by dynamic market and trade conditions, as well as continuing concerns regarding the rate of inflation and employment levels. In light of these conditions, we expect elevated market interest rates and continuing levels of cost inflation due, in part, to trade actions described above under “General Economic, Market and Regulatory Conditions,” for the foreseeable future. Elevated levels of labor, material and fuel costs have negatively affected our project margins to the extent that we have been unable to pass such cost increases along to our customers. If current inflationary conditions persist, our profitability could continue to be affected in the future. Market and economic volatility and/or uncertainty can also affect our customers’ investment decisions and subject us to project cancellations, deferrals or unexpected changes in the timing of project work. Additionally, as discussed within “Interest Rate Risk” below, the inflationary environment has resulted in elevated market interest rates, which increases the rates of interest on our variable rate debt and, correspondingly, our interest expense. Increased market interest rates could also have an adverse effect on the capital expenditure budgets of our customers, which could result in reduced or deferred demand for our services.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 For additional information regarding the effects of inflation on our business, see Management’s Discussion and Analysis of Financial Condition and Results of Operations contained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Interest Rate Risk</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our variable interest rate debt was primarily related to our Credit Facility and our term loans. As of March 31, 2025, we had approximately $40 million of revolving loans outstanding under our Credit Facility with a weighted average interest rate of 4.30%, a $328 million Term Loan under our Credit Facility with a weighted average interest rate of 5.68%, and a $281 million Five-Year Term Loan with a weighted average interest rate of 5.797%.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interest expense is affected by the overall interest rate environment. Although the Federal Reserve has periodically lowered short-term interest rates since September 2024, longer-term rates remain elevated and the timing, direction and extent of any future interest rate changes remain uncertain. The interest we are charged on our variable-rate debt will fluctuate as a result of changes in market interest. Interest on our fixed-rate debt would not change. We manage interest rate risk by maintaining a mix of fixed and variable rate debt obligations. Our variable rate debt subjects us to risk from increases in prevailing interest rates. An additional 100 basis point increase in the applicable interest rates under our Credit Facility and Five-Year Term Loan would have increased our interest expense by approximately $2 million for the three month period ended March 31, 2025.</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our fixed interest rate debt primarily included $600 million aggregate principal amount of 4.500% Senior Notes, $550 million aggregate principal amount of 5.900% Senior Notes, $75 million aggregate principal amount of 6.625% Senior Notes and $316 million of finance lease obligations, which accrued interest at a weighted average interest rate of approximately 4.7%. None of this debt subjects us to financial statement risk associated with changes in interest rates, but we may be subject to changes in interest rates if and when we refinance this debt at maturity or otherwise.</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Foreign Currency Risk</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Certain of our consolidated revenue and operating expenses are in foreign currencies. Our foreign operations are primarily in Canada. Revenue generated from foreign opera</w:t>
      </w:r>
      <w:r>
        <w:rPr>
          <w:rFonts w:ascii="Times New Roman;sans-serif" w:hAnsi="Times New Roman;sans-serif"/>
          <w:b w:val="false"/>
          <w:color w:val="000000"/>
          <w:sz w:val="18"/>
          <w:shd w:fill="FFFFFF" w:val="clear"/>
        </w:rPr>
        <w:t>tions r</w:t>
      </w:r>
      <w:r>
        <w:rPr>
          <w:rFonts w:ascii="Times New Roman;sans-serif" w:hAnsi="Times New Roman;sans-serif"/>
          <w:b w:val="false"/>
          <w:color w:val="000000"/>
          <w:sz w:val="18"/>
        </w:rPr>
        <w:t>epresented app</w:t>
      </w:r>
      <w:r>
        <w:rPr>
          <w:rFonts w:ascii="Times New Roman;sans-serif" w:hAnsi="Times New Roman;sans-serif"/>
          <w:b w:val="false"/>
          <w:color w:val="000000"/>
          <w:sz w:val="18"/>
          <w:shd w:fill="FFFFFF" w:val="clear"/>
        </w:rPr>
        <w:t>ro</w:t>
      </w:r>
      <w:r>
        <w:rPr>
          <w:rFonts w:ascii="Times New Roman;sans-serif" w:hAnsi="Times New Roman;sans-serif"/>
          <w:b w:val="false"/>
          <w:color w:val="000000"/>
          <w:sz w:val="18"/>
        </w:rPr>
        <w:t>ximately 2% of our total revenue for the three month period ended March 31, 2025.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three month period ended March 31, 2025. Translation gains or losses, which are recorded in other comprehensive income or loss, result from translation of the assets and liabilities of our foreign subsidiaries into U.S. dollars. For the three month period ended March 31, 2025, foreign currency translation gains, net, were immaterial and related primarily to our activities in Canada and Mexico.</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2025. We may enter into foreign currency derivative contracts in the future to manage such exposure.</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Other Market Risk</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 xml:space="preserve">Evaluation of Disclosure Controls and Procedures. </w:t>
      </w:r>
      <w:r>
        <w:rPr>
          <w:rFonts w:ascii="Times New Roman;sans-serif" w:hAnsi="Times New Roman;sans-serif"/>
          <w:b w:val="false"/>
          <w:color w:val="000000"/>
          <w:sz w:val="18"/>
        </w:rPr>
        <w:t xml:space="preserve">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color w:val="000000"/>
        </w:rPr>
      </w:pPr>
      <w:r>
        <w:rPr>
          <w:color w:val="000000"/>
        </w:rPr>
        <w:t>“</w:t>
      </w:r>
      <w:r>
        <w:rPr>
          <w:rFonts w:ascii="Times New Roman;sans-serif" w:hAnsi="Times New Roman;sans-serif"/>
          <w:b w:val="false"/>
          <w:color w:val="000000"/>
          <w:sz w:val="18"/>
        </w:rPr>
        <w:t xml:space="preserve">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Based on management’s evaluation, our Chief Executive Officer and Chief Financial Officer concluded that our disclosure controls and procedures were effective at the reasonable assurance level as of March 31, 2025.</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Changes in Internal Control Over Financial Reporting</w:t>
      </w:r>
      <w:r>
        <w:rPr>
          <w:rFonts w:ascii="Times New Roman;sans-serif" w:hAnsi="Times New Roman;sans-serif"/>
          <w:b/>
          <w:color w:val="000000"/>
          <w:sz w:val="18"/>
        </w:rPr>
        <w:t xml:space="preserve">. </w:t>
      </w:r>
      <w:r>
        <w:rPr>
          <w:rFonts w:ascii="Times New Roman;sans-serif" w:hAnsi="Times New Roman;sans-serif"/>
          <w:b w:val="false"/>
          <w:color w:val="000000"/>
          <w:sz w:val="18"/>
        </w:rPr>
        <w:t>There have been no changes in the Company’s internal control over financial reporting during the quarter ended March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Refer to Note 12 – Commitments and Contingencies in the notes to our consolidated financial statements included in this Quarterly Report on Form 10-Q, which is incorporated by reference in this </w:t>
      </w:r>
      <w:hyperlink w:anchor="i670eaa6f42784110851c8a69920e3171_13">
        <w:r>
          <w:rPr>
            <w:rStyle w:val="InternetLink"/>
            <w:rFonts w:ascii="Times New Roman;sans-serif" w:hAnsi="Times New Roman;sans-serif"/>
            <w:b w:val="false"/>
            <w:color w:val="0000FF"/>
            <w:sz w:val="18"/>
            <w:u w:val="single"/>
          </w:rPr>
          <w:t>Item 1</w:t>
        </w:r>
      </w:hyperlink>
      <w:r>
        <w:rPr>
          <w:rFonts w:ascii="Times New Roman;sans-serif" w:hAnsi="Times New Roman;sans-serif"/>
          <w:b w:val="false"/>
          <w:color w:val="000000"/>
          <w:sz w:val="18"/>
        </w:rPr>
        <w:t>, for a discussion of any recent material developments related to our legal proceedings since the filing of our 2024 Form 10-K.</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business is subject to a variety of risks and uncertainties. Except as set forth below, there have been no material changes to either the cautionary statement regarding forward-looking statements or to any of the risk factors disclosed in our 2024 Form 10-K, as updated by our Quarterly Reports on Form 10-Q and other filings we make with the SEC.</w:t>
      </w:r>
    </w:p>
    <w:p>
      <w:pPr>
        <w:pStyle w:val="TextBody"/>
        <w:bidi w:val="0"/>
        <w:spacing w:lineRule="auto" w:line="288" w:before="120" w:after="120"/>
        <w:jc w:val="both"/>
        <w:rPr>
          <w:rFonts w:ascii="Times New Roman;sans-serif" w:hAnsi="Times New Roman;sans-serif"/>
          <w:b/>
          <w:i/>
          <w:color w:val="000000"/>
          <w:sz w:val="18"/>
        </w:rPr>
      </w:pPr>
      <w:r>
        <w:rPr>
          <w:rFonts w:ascii="Times New Roman;sans-serif" w:hAnsi="Times New Roman;sans-serif"/>
          <w:b/>
          <w:i/>
          <w:color w:val="000000"/>
          <w:sz w:val="18"/>
        </w:rPr>
        <w:t>Recent tariff and trade actions by the United States and other countries could have a material adverse effect on our business, financial condition and results of operations.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U.S. government recently announced significant trade policy and tariff actions on imports from a broad set of countries, including Canada, Mexico, European Union member states, Japan, Germany and China, in response to which many countries have announced retaliatory trade actions, including tariffs on U.S. exports. These actions have increased the cost of importing certain construction materials into the United States, including steel, concrete and solar panels, and have caused disruption and uncertainty to both international trade and supply chains, as well as financial markets. </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duration, extent and effects of these tariffs and trade actions cannot be predicted with certainty but these and other trade policies could increase costs of key construction equipment and components thereof, as well as materials required for our customers’ projects (including steel, concrete and solar panels), which could cause our customers to reconsider or reduce their capital expenditures. In addition, economic experts and policy makers have expressed concerns that increased tariffs could increase inflation, which could also affect our customers’ capital spending plans and demand for our services. Accordingly, these trade actions and the widespread uncertainty and international tensions resulting therefrom, including, without limitation, effects on interest rates and on the value of the U.S. dollar relative to other currencies, could materially and adversely harm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120" w:after="120"/>
        <w:ind w:left="0" w:right="0" w:firstLine="450"/>
        <w:jc w:val="both"/>
        <w:rPr>
          <w:rFonts w:ascii="Times New Roman;sans-serif" w:hAnsi="Times New Roman;sans-serif"/>
          <w:b/>
          <w:i/>
          <w:color w:val="000000"/>
          <w:sz w:val="18"/>
        </w:rPr>
      </w:pPr>
      <w:r>
        <w:rPr>
          <w:rFonts w:ascii="Times New Roman;sans-serif" w:hAnsi="Times New Roman;sans-serif"/>
          <w:b/>
          <w:i/>
          <w:color w:val="000000"/>
          <w:sz w:val="18"/>
        </w:rPr>
        <w:t>Issuer Purchases of Equity Securities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about repurchases of our common stock during the three month period ended March 31, 2025:</w:t>
      </w:r>
    </w:p>
    <w:tbl>
      <w:tblPr>
        <w:tblW w:w="10205" w:type="dxa"/>
        <w:jc w:val="left"/>
        <w:tblInd w:w="0" w:type="dxa"/>
        <w:tblLayout w:type="fixed"/>
        <w:tblCellMar>
          <w:top w:w="28" w:type="dxa"/>
          <w:left w:w="28" w:type="dxa"/>
          <w:bottom w:w="28" w:type="dxa"/>
          <w:right w:w="28" w:type="dxa"/>
        </w:tblCellMar>
      </w:tblPr>
      <w:tblGrid>
        <w:gridCol w:w="465"/>
        <w:gridCol w:w="348"/>
        <w:gridCol w:w="349"/>
        <w:gridCol w:w="109"/>
        <w:gridCol w:w="109"/>
        <w:gridCol w:w="109"/>
        <w:gridCol w:w="569"/>
        <w:gridCol w:w="473"/>
        <w:gridCol w:w="475"/>
        <w:gridCol w:w="109"/>
        <w:gridCol w:w="109"/>
        <w:gridCol w:w="109"/>
        <w:gridCol w:w="265"/>
        <w:gridCol w:w="873"/>
        <w:gridCol w:w="147"/>
        <w:gridCol w:w="109"/>
        <w:gridCol w:w="109"/>
        <w:gridCol w:w="109"/>
        <w:gridCol w:w="796"/>
        <w:gridCol w:w="746"/>
        <w:gridCol w:w="748"/>
        <w:gridCol w:w="109"/>
        <w:gridCol w:w="109"/>
        <w:gridCol w:w="109"/>
        <w:gridCol w:w="394"/>
        <w:gridCol w:w="1933"/>
        <w:gridCol w:w="316"/>
      </w:tblGrid>
      <w:tr>
        <w:trPr/>
        <w:tc>
          <w:tcPr>
            <w:tcW w:w="46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as Part of Publicly Announced Program </w:t>
            </w:r>
            <w:r>
              <w:rPr>
                <w:rFonts w:ascii="Times New Roman;sans-serif" w:hAnsi="Times New Roman;sans-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Program </w:t>
            </w:r>
            <w:r>
              <w:rPr>
                <w:rFonts w:ascii="Times New Roman;sans-serif" w:hAnsi="Times New Roman;sans-serif"/>
                <w:b/>
                <w:color w:val="000000"/>
                <w:sz w:val="12"/>
              </w:rPr>
              <w:t>(c)</w:t>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through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through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through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338,604 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332,565 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40,252,986 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350,113 </w:t>
            </w:r>
          </w:p>
        </w:tc>
        <w:tc>
          <w:tcPr>
            <w:tcW w:w="4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332,565 </w:t>
            </w:r>
          </w:p>
        </w:tc>
        <w:tc>
          <w:tcPr>
            <w:tcW w:w="7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(a)Includes 5,028, 6,230 and 6,039 shares reacquired by the Company on the open market pursuant to the Amended ESPPs in January, February and March of 2025, respectively, 251 shares withheld for income tax purposes in connection with shares issued under compensation and benefit programs in February of 2025, and 332,565 shares repurchased under our March 2020 $150 million share repurchase program during the three month period ended March 31, 2025.</w:t>
      </w:r>
    </w:p>
    <w:p>
      <w:pPr>
        <w:pStyle w:val="TextBody"/>
        <w:bidi w:val="0"/>
        <w:spacing w:lineRule="auto" w:line="288" w:before="40" w:after="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(b)All shares were repurchased under our March 2020 $150 million share repurchase program, which was publicly announced on March 19, 2020.</w:t>
      </w:r>
    </w:p>
    <w:p>
      <w:pPr>
        <w:pStyle w:val="TextBody"/>
        <w:bidi w:val="0"/>
        <w:spacing w:lineRule="auto" w:line="288" w:before="4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(c)As of March 31, 2025, the remaining amount available for share repurchases under our March 2020 $150 million share repurchase program totaled $40.3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 xml:space="preserve">The information concerning mine safety violations or other regulatory matters required by Section 1503(a) of the Dodd-Frank Wall Street Reform and Consumer Protection Act and Item 104 of Regulation S-K is included in </w:t>
      </w:r>
      <w:hyperlink w:anchor="mtz3312510-qex951.htm">
        <w:r>
          <w:rPr>
            <w:rStyle w:val="InternetLink"/>
            <w:rFonts w:ascii="Times New Roman;sans-serif" w:hAnsi="Times New Roman;sans-serif"/>
            <w:b w:val="false"/>
            <w:color w:val="0000FF"/>
            <w:sz w:val="18"/>
            <w:u w:val="single"/>
          </w:rPr>
          <w:t>Exhibit 95.1</w:t>
        </w:r>
      </w:hyperlink>
      <w:r>
        <w:rPr>
          <w:color w:val="000000"/>
        </w:rPr>
        <w:t xml:space="preserve"> </w:t>
      </w:r>
      <w:r>
        <w:rPr>
          <w:rFonts w:ascii="Times New Roman;sans-serif" w:hAnsi="Times New Roman;sans-serif"/>
          <w:b w:val="false"/>
          <w:color w:val="000000"/>
          <w:sz w:val="18"/>
        </w:rPr>
        <w:t>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three month period ended March 31, 2025,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Exhibit Index below contains a list of exhibits filed or furnished with this Form 10-Q.</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53"/>
        <w:gridCol w:w="2653"/>
        <w:gridCol w:w="380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510-qex311.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510-qex312.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510-qex321.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510-qex322.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510-qex951.htm">
              <w:r>
                <w:rPr>
                  <w:rStyle w:val="InternetLink"/>
                  <w:rFonts w:ascii="Times New Roman;sans-serif" w:hAnsi="Times New Roman;sans-serif"/>
                  <w:b w:val="false"/>
                  <w:color w:val="0000FF"/>
                  <w:sz w:val="18"/>
                  <w:u w:val="single"/>
                </w:rPr>
                <w:t>Mine Safety Disclosures.</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cover page of MasTec, Inc.’s Quarterly Report on Form 10-Q for the quarter ended March 31, 2025, formatted in Inline XBRL (included with the Exhibit 101 attachments).</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w:t>
      </w:r>
    </w:p>
    <w:p>
      <w:pPr>
        <w:pStyle w:val="TextBody"/>
        <w:bidi w:val="0"/>
        <w:spacing w:lineRule="auto" w:line="288" w:before="20" w:after="20"/>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20" w:after="20"/>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lineRule="auto" w:line="288" w:before="0" w:after="24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tbl>
      <w:tblPr>
        <w:tblW w:w="3778" w:type="dxa"/>
        <w:jc w:val="left"/>
        <w:tblInd w:w="0" w:type="dxa"/>
        <w:tblLayout w:type="fixed"/>
        <w:tblCellMar>
          <w:top w:w="28" w:type="dxa"/>
          <w:left w:w="28" w:type="dxa"/>
          <w:bottom w:w="28" w:type="dxa"/>
          <w:right w:w="28" w:type="dxa"/>
        </w:tblCellMar>
      </w:tblPr>
      <w:tblGrid>
        <w:gridCol w:w="525"/>
        <w:gridCol w:w="463"/>
        <w:gridCol w:w="466"/>
        <w:gridCol w:w="679"/>
        <w:gridCol w:w="679"/>
        <w:gridCol w:w="966"/>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MASTEC, INC.</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1, 2025</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T. MICHAEL LOVE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 Michael Love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José R. Mas, certify that: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3643" w:type="dxa"/>
        <w:jc w:val="left"/>
        <w:tblInd w:w="0" w:type="dxa"/>
        <w:tblLayout w:type="fixed"/>
        <w:tblCellMar>
          <w:top w:w="28" w:type="dxa"/>
          <w:left w:w="28" w:type="dxa"/>
          <w:bottom w:w="28" w:type="dxa"/>
          <w:right w:w="28" w:type="dxa"/>
        </w:tblCellMar>
      </w:tblPr>
      <w:tblGrid>
        <w:gridCol w:w="525"/>
        <w:gridCol w:w="463"/>
        <w:gridCol w:w="466"/>
        <w:gridCol w:w="640"/>
        <w:gridCol w:w="640"/>
        <w:gridCol w:w="90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1, 2025</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Paul DiMarco, certify that: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5353" w:type="dxa"/>
        <w:jc w:val="left"/>
        <w:tblInd w:w="0" w:type="dxa"/>
        <w:tblLayout w:type="fixed"/>
        <w:tblCellMar>
          <w:top w:w="28" w:type="dxa"/>
          <w:left w:w="28" w:type="dxa"/>
          <w:bottom w:w="28" w:type="dxa"/>
          <w:right w:w="28" w:type="dxa"/>
        </w:tblCellMar>
      </w:tblPr>
      <w:tblGrid>
        <w:gridCol w:w="525"/>
        <w:gridCol w:w="463"/>
        <w:gridCol w:w="466"/>
        <w:gridCol w:w="1140"/>
        <w:gridCol w:w="1140"/>
        <w:gridCol w:w="161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1, 2025</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March 31, 2025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3643" w:type="dxa"/>
        <w:jc w:val="left"/>
        <w:tblInd w:w="0" w:type="dxa"/>
        <w:tblLayout w:type="fixed"/>
        <w:tblCellMar>
          <w:top w:w="28" w:type="dxa"/>
          <w:left w:w="28" w:type="dxa"/>
          <w:bottom w:w="28" w:type="dxa"/>
          <w:right w:w="28" w:type="dxa"/>
        </w:tblCellMar>
      </w:tblPr>
      <w:tblGrid>
        <w:gridCol w:w="525"/>
        <w:gridCol w:w="463"/>
        <w:gridCol w:w="466"/>
        <w:gridCol w:w="640"/>
        <w:gridCol w:w="640"/>
        <w:gridCol w:w="90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1, 2025</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March 31, 2025, or as a separate disclosure document of the Company or the certifying officers.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March 31, 2025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5353" w:type="dxa"/>
        <w:jc w:val="left"/>
        <w:tblInd w:w="0" w:type="dxa"/>
        <w:tblLayout w:type="fixed"/>
        <w:tblCellMar>
          <w:top w:w="28" w:type="dxa"/>
          <w:left w:w="28" w:type="dxa"/>
          <w:bottom w:w="28" w:type="dxa"/>
          <w:right w:w="28" w:type="dxa"/>
        </w:tblCellMar>
      </w:tblPr>
      <w:tblGrid>
        <w:gridCol w:w="525"/>
        <w:gridCol w:w="463"/>
        <w:gridCol w:w="466"/>
        <w:gridCol w:w="1140"/>
        <w:gridCol w:w="1140"/>
        <w:gridCol w:w="161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1, 2025</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March 31, 2025, or as a separate disclosure document of the Company or the certifying officers.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95.1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MINE SAFETY DISCLOSURES</w:t>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ans-serif" w:hAnsi="Times New Roman;sans-serif"/>
          <w:b w:val="false"/>
          <w:i/>
          <w:color w:val="000000"/>
          <w:sz w:val="18"/>
        </w:rPr>
        <w:t>et seq</w:t>
      </w:r>
      <w:r>
        <w:rPr>
          <w:rFonts w:ascii="Times New Roman;sans-serif" w:hAnsi="Times New Roman;sans-serif"/>
          <w:b w:val="false"/>
          <w:color w:val="000000"/>
          <w:sz w:val="18"/>
        </w:rPr>
        <w:t>. (the “Mine Act”). Set forth below is the required information regarding certain mining safety and health matters for the quarter ended March 31, 2025. Citations and orders may be contested and appealed, and in that process, may be reduced in severity and amount, and are sometimes dismissed. The table below includes references to specific sections of the Mine Act.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Layout w:type="fixed"/>
        <w:tblCellMar>
          <w:top w:w="28" w:type="dxa"/>
          <w:left w:w="28" w:type="dxa"/>
          <w:bottom w:w="28" w:type="dxa"/>
          <w:right w:w="28" w:type="dxa"/>
        </w:tblCellMar>
      </w:tblPr>
      <w:tblGrid>
        <w:gridCol w:w="565"/>
        <w:gridCol w:w="241"/>
        <w:gridCol w:w="242"/>
        <w:gridCol w:w="109"/>
        <w:gridCol w:w="109"/>
        <w:gridCol w:w="109"/>
        <w:gridCol w:w="281"/>
        <w:gridCol w:w="281"/>
        <w:gridCol w:w="282"/>
        <w:gridCol w:w="109"/>
        <w:gridCol w:w="109"/>
        <w:gridCol w:w="109"/>
        <w:gridCol w:w="235"/>
        <w:gridCol w:w="235"/>
        <w:gridCol w:w="236"/>
        <w:gridCol w:w="109"/>
        <w:gridCol w:w="109"/>
        <w:gridCol w:w="109"/>
        <w:gridCol w:w="279"/>
        <w:gridCol w:w="279"/>
        <w:gridCol w:w="280"/>
        <w:gridCol w:w="109"/>
        <w:gridCol w:w="109"/>
        <w:gridCol w:w="109"/>
        <w:gridCol w:w="252"/>
        <w:gridCol w:w="252"/>
        <w:gridCol w:w="253"/>
        <w:gridCol w:w="109"/>
        <w:gridCol w:w="109"/>
        <w:gridCol w:w="109"/>
        <w:gridCol w:w="234"/>
        <w:gridCol w:w="234"/>
        <w:gridCol w:w="235"/>
        <w:gridCol w:w="109"/>
        <w:gridCol w:w="109"/>
        <w:gridCol w:w="109"/>
        <w:gridCol w:w="332"/>
        <w:gridCol w:w="332"/>
        <w:gridCol w:w="333"/>
        <w:gridCol w:w="109"/>
        <w:gridCol w:w="109"/>
        <w:gridCol w:w="109"/>
        <w:gridCol w:w="273"/>
        <w:gridCol w:w="273"/>
        <w:gridCol w:w="274"/>
        <w:gridCol w:w="109"/>
        <w:gridCol w:w="109"/>
        <w:gridCol w:w="109"/>
        <w:gridCol w:w="253"/>
        <w:gridCol w:w="253"/>
        <w:gridCol w:w="370"/>
      </w:tblGrid>
      <w:tr>
        <w:trPr/>
        <w:tc>
          <w:tcPr>
            <w:tcW w:w="5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Mine Name /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104 Citations</w:t>
            </w:r>
            <w:r>
              <w:rPr>
                <w:rFonts w:ascii="Times New Roman;sans-serif" w:hAnsi="Times New Roman;sans-serif"/>
                <w:b/>
                <w:color w:val="000000"/>
                <w:sz w:val="11"/>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104(b) Orders</w:t>
            </w:r>
            <w:r>
              <w:rPr>
                <w:rFonts w:ascii="Times New Roman;sans-serif" w:hAnsi="Times New Roman;sans-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104(d) Citations and Orders</w:t>
            </w:r>
            <w:r>
              <w:rPr>
                <w:rFonts w:ascii="Times New Roman;sans-serif" w:hAnsi="Times New Roman;sans-serif"/>
                <w:b/>
                <w:color w:val="000000"/>
                <w:sz w:val="11"/>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110(b)(2) Violations</w:t>
            </w:r>
            <w:r>
              <w:rPr>
                <w:rFonts w:ascii="Times New Roman;sans-serif" w:hAnsi="Times New Roman;sans-serif"/>
                <w:b/>
                <w:color w:val="000000"/>
                <w:sz w:val="11"/>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107(a) Orders</w:t>
            </w:r>
            <w:r>
              <w:rPr>
                <w:rFonts w:ascii="Times New Roman;sans-serif" w:hAnsi="Times New Roman;sans-serif"/>
                <w:b/>
                <w:color w:val="000000"/>
                <w:sz w:val="11"/>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Proposed</w:t>
            </w:r>
          </w:p>
          <w:p>
            <w:pPr>
              <w:pStyle w:val="TableContents"/>
              <w:bidi w:val="0"/>
              <w:spacing w:lineRule="auto" w:line="240" w:before="0" w:after="30"/>
              <w:jc w:val="center"/>
              <w:rPr/>
            </w:pPr>
            <w:r>
              <w:rPr>
                <w:rFonts w:ascii="Times New Roman;sans-serif" w:hAnsi="Times New Roman;sans-serif"/>
                <w:b/>
                <w:color w:val="000000"/>
                <w:sz w:val="17"/>
              </w:rPr>
              <w:t>Assessments</w:t>
            </w:r>
            <w:r>
              <w:rPr>
                <w:rFonts w:ascii="Times New Roman;sans-serif" w:hAnsi="Times New Roman;sans-serif"/>
                <w:b/>
                <w:color w:val="000000"/>
                <w:sz w:val="11"/>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ans-serif" w:hAnsi="Times New Roman;sans-serif"/>
                <w:b/>
                <w:color w:val="000000"/>
                <w:sz w:val="17"/>
              </w:rPr>
              <w:t>Fatalities</w:t>
            </w:r>
            <w:r>
              <w:rPr>
                <w:rFonts w:ascii="Times New Roman;sans-serif" w:hAnsi="Times New Roman;sans-serif"/>
                <w:b/>
                <w:color w:val="000000"/>
                <w:sz w:val="11"/>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ans-serif" w:hAnsi="Times New Roman;sans-serif"/>
                <w:b/>
                <w:color w:val="000000"/>
                <w:sz w:val="17"/>
              </w:rPr>
              <w:t>Pending Legal Action</w:t>
            </w:r>
            <w:r>
              <w:rPr>
                <w:rFonts w:ascii="Times New Roman;sans-serif" w:hAnsi="Times New Roman;sans-serif"/>
                <w:b/>
                <w:color w:val="000000"/>
                <w:sz w:val="11"/>
              </w:rPr>
              <w:t>(h)</w:t>
            </w:r>
          </w:p>
        </w:tc>
      </w:tr>
      <w:tr>
        <w:trPr/>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Arizona / VTW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1 / 02-03091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2 / 02-02622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3 / 02-02774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4 / 02-03036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5 / 29-02226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6 / 02-02589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7 / 02-03079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8 / 02-03035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Topaz Mine 26-02440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Wash Plant 26-02774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Oklahoma / B7441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Tennessee / B7441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 B7441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Utah / B7441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 C4778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Wisconsin / A6370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Alabama / 1KJ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Denotes where we are working as an "independent contractor" at another operator's mine.</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    The total number of orders issued under Section 104(b)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(c)    The total number of citations and orders for unwarrantable failure of the mine operator to comply with mandatory health or safety standards under Section 104(d)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(d)    The total number of flagrant violations under Section 110(b)(2)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(e)    The total number of imminent danger orders issued under Section 107(a)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(f)    The total dollar value of proposed assessments from the MSHA under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(g)    The total number of mining-related fatalities.</w:t>
      </w:r>
    </w:p>
    <w:p>
      <w:pPr>
        <w:pStyle w:val="TextBody"/>
        <w:bidi w:val="0"/>
        <w:spacing w:lineRule="auto" w:line="288" w:before="60" w:after="1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(h)    Any pending legal action before the Federal Mine Safety and Health Review Commission involving the applicable mine(s).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quarter ended March 31, 2025,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 </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26220</Words>
  <Characters>149360</Characters>
  <CharactersWithSpaces>174272</CharactersWithSpaces>
  <Paragraphs>2506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