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7"/>
              </w:rPr>
              <w:t>Florida</w:t>
            </w:r>
          </w:p>
        </w:tc>
        <w:tc>
          <w:tcPr>
            <w:tcW w:w="5040" w:type="dxa"/>
            <w:vAlign w:val="bottom"/>
          </w:tcPr>
          <w:p>
            <w:pPr>
              <w:jc w:val="right"/>
              <w:ind w:right="46"/>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800 S. Douglas Road, 12th Floor,</w:t>
            </w:r>
          </w:p>
        </w:tc>
        <w:tc>
          <w:tcPr>
            <w:tcW w:w="5040" w:type="dxa"/>
            <w:vAlign w:val="bottom"/>
          </w:tcPr>
          <w:p>
            <w:pPr>
              <w:spacing w:after="0"/>
              <w:rPr>
                <w:sz w:val="24"/>
                <w:szCs w:val="24"/>
                <w:color w:val="auto"/>
              </w:rPr>
            </w:pPr>
          </w:p>
        </w:tc>
      </w:tr>
      <w:tr>
        <w:trPr>
          <w:trHeight w:val="27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Coral Gables, FL</w:t>
            </w:r>
          </w:p>
        </w:tc>
        <w:tc>
          <w:tcPr>
            <w:tcW w:w="5040" w:type="dxa"/>
            <w:vAlign w:val="bottom"/>
          </w:tcPr>
          <w:p>
            <w:pPr>
              <w:jc w:val="right"/>
              <w:ind w:right="226"/>
              <w:spacing w:after="0"/>
              <w:rPr>
                <w:sz w:val="20"/>
                <w:szCs w:val="20"/>
                <w:color w:val="auto"/>
              </w:rPr>
            </w:pPr>
            <w:r>
              <w:rPr>
                <w:rFonts w:ascii="Arial" w:cs="Arial" w:eastAsia="Arial" w:hAnsi="Arial"/>
                <w:sz w:val="16"/>
                <w:szCs w:val="16"/>
                <w:b w:val="1"/>
                <w:bCs w:val="1"/>
                <w:color w:val="auto"/>
              </w:rPr>
              <w:t>33134</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184"/>
        </w:trPr>
        <w:tc>
          <w:tcPr>
            <w:tcW w:w="2300" w:type="dxa"/>
            <w:vAlign w:val="bottom"/>
          </w:tcPr>
          <w:p>
            <w:pPr>
              <w:spacing w:after="0"/>
              <w:rPr>
                <w:sz w:val="16"/>
                <w:szCs w:val="16"/>
                <w:color w:val="auto"/>
              </w:rPr>
            </w:pPr>
          </w:p>
        </w:tc>
        <w:tc>
          <w:tcPr>
            <w:tcW w:w="5040" w:type="dxa"/>
            <w:vAlign w:val="bottom"/>
          </w:tcPr>
          <w:p>
            <w:pPr>
              <w:jc w:val="right"/>
              <w:ind w:right="2786"/>
              <w:spacing w:after="0"/>
              <w:rPr>
                <w:sz w:val="20"/>
                <w:szCs w:val="20"/>
                <w:color w:val="auto"/>
              </w:rPr>
            </w:pPr>
            <w:r>
              <w:rPr>
                <w:rFonts w:ascii="Arial" w:cs="Arial" w:eastAsia="Arial" w:hAnsi="Arial"/>
                <w:sz w:val="16"/>
                <w:szCs w:val="16"/>
                <w:b w:val="1"/>
                <w:bCs w:val="1"/>
                <w:color w:val="auto"/>
              </w:rPr>
              <w:t>(305) 599-1800</w:t>
            </w:r>
          </w:p>
        </w:tc>
      </w:tr>
      <w:tr>
        <w:trPr>
          <w:trHeight w:val="182"/>
        </w:trPr>
        <w:tc>
          <w:tcPr>
            <w:tcW w:w="2300" w:type="dxa"/>
            <w:vAlign w:val="bottom"/>
          </w:tcPr>
          <w:p>
            <w:pPr>
              <w:spacing w:after="0"/>
              <w:rPr>
                <w:sz w:val="15"/>
                <w:szCs w:val="15"/>
                <w:color w:val="auto"/>
              </w:rPr>
            </w:pPr>
          </w:p>
        </w:tc>
        <w:tc>
          <w:tcPr>
            <w:tcW w:w="5040" w:type="dxa"/>
            <w:vAlign w:val="bottom"/>
          </w:tcPr>
          <w:p>
            <w:pPr>
              <w:jc w:val="center"/>
              <w:ind w:right="160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bl>
    <w:p>
      <w:pPr>
        <w:spacing w:after="0" w:line="200" w:lineRule="exact"/>
        <w:rPr>
          <w:sz w:val="24"/>
          <w:szCs w:val="24"/>
          <w:color w:val="auto"/>
        </w:rPr>
      </w:pPr>
    </w:p>
    <w:p>
      <w:pPr>
        <w:spacing w:after="0" w:line="221"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58" w:right="239" w:bottom="1440" w:gutter="0" w:footer="0" w:header="0"/>
        </w:sectPr>
      </w:pPr>
    </w:p>
    <w:p>
      <w:pPr>
        <w:spacing w:after="0" w:line="345" w:lineRule="exact"/>
        <w:rPr>
          <w:sz w:val="24"/>
          <w:szCs w:val="24"/>
          <w:color w:val="auto"/>
        </w:rPr>
      </w:pPr>
    </w:p>
    <w:p>
      <w:pPr>
        <w:ind w:left="8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3280" w:space="720"/>
            <w:col w:w="2400" w:space="720"/>
            <w:col w:w="2400" w:space="720"/>
            <w:col w:w="1180"/>
          </w:cols>
          <w:pgMar w:left="240" w:top="958" w:right="239" w:bottom="1440" w:gutter="0" w:footer="0" w:header="0"/>
          <w:type w:val="continuous"/>
        </w:sectPr>
      </w:pPr>
    </w:p>
    <w:p>
      <w:pPr>
        <w:spacing w:after="0" w:line="30" w:lineRule="exact"/>
        <w:rPr>
          <w:sz w:val="24"/>
          <w:szCs w:val="24"/>
          <w:color w:val="auto"/>
        </w:rPr>
      </w:pPr>
    </w:p>
    <w:p>
      <w:pPr>
        <w:ind w:left="8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120" w:lineRule="exact"/>
        <w:rPr>
          <w:sz w:val="24"/>
          <w:szCs w:val="24"/>
          <w:color w:val="auto"/>
        </w:rPr>
      </w:pPr>
    </w:p>
    <w:p>
      <w:pPr>
        <w:sectPr>
          <w:pgSz w:w="11900" w:h="16838" w:orient="portrait"/>
          <w:cols w:equalWidth="0" w:num="3">
            <w:col w:w="3280" w:space="720"/>
            <w:col w:w="140" w:space="240"/>
            <w:col w:w="704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1" w:lineRule="exact"/>
        <w:rPr>
          <w:sz w:val="24"/>
          <w:szCs w:val="24"/>
          <w:color w:val="auto"/>
        </w:rPr>
      </w:pPr>
    </w:p>
    <w:p>
      <w:pPr>
        <w:ind w:right="1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660"/>
        <w:spacing w:after="0" w:line="184" w:lineRule="exact"/>
        <w:tabs>
          <w:tab w:leader="none" w:pos="7360" w:val="left"/>
        </w:tabs>
        <w:rPr>
          <w:sz w:val="20"/>
          <w:szCs w:val="20"/>
          <w:color w:val="auto"/>
        </w:rPr>
      </w:pPr>
      <w:r>
        <w:rPr>
          <w:rFonts w:ascii="Arial" w:cs="Arial" w:eastAsia="Arial" w:hAnsi="Arial"/>
          <w:sz w:val="16"/>
          <w:szCs w:val="16"/>
          <w:color w:val="auto"/>
        </w:rPr>
        <w:t>Indicate by check mark whether the registrant is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July 30, 2018, MasTec, Inc. had 80,273,818 shares of common stock, $0.10 par value, outstanding.</w:t>
      </w:r>
    </w:p>
    <w:p>
      <w:pPr>
        <w:sectPr>
          <w:pgSz w:w="11900" w:h="16838" w:orient="portrait"/>
          <w:cols w:equalWidth="0" w:num="1">
            <w:col w:w="11420"/>
          </w:cols>
          <w:pgMar w:left="240" w:top="95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JUNE 30,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222"/>
        </w:trPr>
        <w:tc>
          <w:tcPr>
            <w:tcW w:w="248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6380" w:type="dxa"/>
            <w:vAlign w:val="bottom"/>
            <w:gridSpan w:val="9"/>
          </w:tcPr>
          <w:p>
            <w:pPr>
              <w:spacing w:after="0"/>
              <w:rPr>
                <w:sz w:val="19"/>
                <w:szCs w:val="19"/>
                <w:color w:val="auto"/>
              </w:rPr>
            </w:pPr>
          </w:p>
        </w:tc>
        <w:tc>
          <w:tcPr>
            <w:tcW w:w="216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22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Unaudited Consolidated Statements of Comprehensive Income</w:t>
              </w:r>
            </w:hyperlink>
          </w:p>
        </w:tc>
        <w:tc>
          <w:tcPr>
            <w:tcW w:w="2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Unaudited Consolidated Statements of Cash Flows</w:t>
              </w:r>
            </w:hyperlink>
          </w:p>
        </w:tc>
        <w:tc>
          <w:tcPr>
            <w:tcW w:w="22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Management’s Discussion and Analysis of Financial Condition and Results of Operations</w:t>
              </w:r>
            </w:hyperlink>
          </w:p>
        </w:tc>
        <w:tc>
          <w:tcPr>
            <w:tcW w:w="2240" w:type="dxa"/>
            <w:vAlign w:val="bottom"/>
            <w:gridSpan w:val="3"/>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3</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Quantitative and Qualitative Disclosures About Market Risk</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Controls and Procedures</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40">
              <w:r>
                <w:rPr>
                  <w:rFonts w:ascii="Arial" w:cs="Arial" w:eastAsia="Arial" w:hAnsi="Arial"/>
                  <w:sz w:val="16"/>
                  <w:szCs w:val="16"/>
                  <w:color w:val="0000EE"/>
                  <w:w w:val="97"/>
                </w:rPr>
                <w:t>Part II. OTHER INFORMATION</w:t>
              </w:r>
            </w:hyperlink>
          </w:p>
        </w:tc>
        <w:tc>
          <w:tcPr>
            <w:tcW w:w="6660" w:type="dxa"/>
            <w:vAlign w:val="bottom"/>
            <w:gridSpan w:val="11"/>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0">
              <w:r>
                <w:rPr>
                  <w:rFonts w:ascii="Arial" w:cs="Arial" w:eastAsia="Arial" w:hAnsi="Arial"/>
                  <w:sz w:val="16"/>
                  <w:szCs w:val="16"/>
                  <w:color w:val="0000FF"/>
                  <w:w w:val="78"/>
                </w:rPr>
                <w:t>40</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Legal Proceedings</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1A</w:t>
              </w:r>
            </w:hyperlink>
          </w:p>
        </w:tc>
        <w:tc>
          <w:tcPr>
            <w:tcW w:w="77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Risk Factors</w:t>
              </w:r>
            </w:hyperlink>
          </w:p>
        </w:tc>
        <w:tc>
          <w:tcPr>
            <w:tcW w:w="224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Unregistered Sales of Equity Securities and Use of Proceeds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4</w:t>
              </w:r>
            </w:hyperlink>
          </w:p>
        </w:tc>
        <w:tc>
          <w:tcPr>
            <w:tcW w:w="7740" w:type="dxa"/>
            <w:vAlign w:val="bottom"/>
            <w:gridSpan w:val="1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Mine Safety Disclosures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6</w:t>
              </w:r>
            </w:hyperlink>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Exhibits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2"/>
          </w:tcPr>
          <w:p>
            <w:pPr>
              <w:ind w:left="44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31" w:right="3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1,617,804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1,890,180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3,014,638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3,048,364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1,366,584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w w:val="92"/>
              </w:rPr>
              <w:t>1,626,335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2,603,883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2,597,469</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51,676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88,282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67,602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70,823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135,604</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(7,706)</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116,183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138,766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153,772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206,751</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(82,792)</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80,401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83,332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106,864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123,959</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80,492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81,668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107,052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122,638</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Earnings per share (Note 2):</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78,984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80,925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80,061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80,812</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1.49</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82,226</w:t>
            </w:r>
          </w:p>
        </w:tc>
      </w:tr>
      <w:tr>
        <w:trPr>
          <w:trHeight w:val="20"/>
        </w:trPr>
        <w:tc>
          <w:tcPr>
            <w:tcW w:w="6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80,401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123,959</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gains,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w:t>
            </w:r>
          </w:p>
        </w:tc>
      </w:tr>
      <w:tr>
        <w:trPr>
          <w:trHeight w:val="237"/>
        </w:trPr>
        <w:tc>
          <w:tcPr>
            <w:tcW w:w="6980" w:type="dxa"/>
            <w:vAlign w:val="bottom"/>
          </w:tcPr>
          <w:p>
            <w:pPr>
              <w:ind w:left="200"/>
              <w:spacing w:after="0"/>
              <w:rPr>
                <w:sz w:val="20"/>
                <w:szCs w:val="20"/>
                <w:color w:val="auto"/>
              </w:rPr>
            </w:pPr>
            <w:r>
              <w:rPr>
                <w:rFonts w:ascii="Arial" w:cs="Arial" w:eastAsia="Arial" w:hAnsi="Arial"/>
                <w:sz w:val="16"/>
                <w:szCs w:val="16"/>
                <w:color w:val="auto"/>
              </w:rPr>
              <w:t>Unrealized gains (losses) on equity investee activity, net of tax</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2,937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(2,095)</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81,686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123,638</w:t>
            </w:r>
          </w:p>
        </w:tc>
      </w:tr>
      <w:tr>
        <w:trPr>
          <w:trHeight w:val="217"/>
        </w:trPr>
        <w:tc>
          <w:tcPr>
            <w:tcW w:w="6980" w:type="dxa"/>
            <w:vAlign w:val="bottom"/>
          </w:tcPr>
          <w:p>
            <w:pPr>
              <w:ind w:left="20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1,321</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81,777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122,317</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shares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14"/>
                <w:szCs w:val="14"/>
                <w:color w:val="auto"/>
              </w:rPr>
              <w:t>(Note 5)</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2,077,487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1,598,015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76,992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101,270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2,281,770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1,852,366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739,425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1,146,599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1,137,738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191,142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232,848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178,824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4,582,157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4,066,576</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84,215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87,866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377,954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108,647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89,087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243,224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194,494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65,455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1,252,777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963,827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1,532,978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1,280,706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206,411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204,518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184,172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3,151,759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2,633,223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5"/>
              </w:rPr>
              <w:t>Common stock, $0.10 par value: authorized shares - 145,000,000; issued shares - 91,080,280 and 90,935,584 (including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1,480,582 and 1,421,041 of unvested stock awards) as of June 30, 2018 and December 31, 2017, respectively</w:t>
            </w:r>
          </w:p>
        </w:tc>
        <w:tc>
          <w:tcPr>
            <w:tcW w:w="2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965,768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857,154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(63,712)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w w:val="98"/>
              </w:rPr>
              <w:t>Treasury stock, at cost: 10,835,749 and 8,132,811 shares as of June 30, 2018 and December 31, 2017, respectively</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(275,435)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(147,124)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1,430,799</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1,433,353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4,582,157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4,066,576</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For the Six Months Ended June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106,864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123,959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101,615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88,282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6,571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7,166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from) provision for 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76,584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(7,706)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sales of assets, net, including fixed assets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non-cash items,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13,190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(471,716)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(388,818)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28,295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58,949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(81,286)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113,975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Billings in excess of costs and earnings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44,524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(58,594)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Book overdrafts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10,813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(5,189)</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(100,160)</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(37,444)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(87,997)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(56,853)</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for other investments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(35,713)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(74,482)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12,118</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(111,095)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(149,292)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1,638,874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1,153,230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(1,374,552)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(869,100)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Repayments of other borrowings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(10,291)</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(30,858)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of acquisition-related contingent consideration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Distributions to non-controlling interests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stock-based awards,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financing activities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(6,240)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228,790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currency translation on cash</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40,326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38,767</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18,230</w:t>
            </w:r>
          </w:p>
        </w:tc>
      </w:tr>
      <w:tr>
        <w:trPr>
          <w:trHeight w:val="129"/>
        </w:trPr>
        <w:tc>
          <w:tcPr>
            <w:tcW w:w="8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36,068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25,743</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(refunds) payments,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76,633</w:t>
            </w:r>
          </w:p>
        </w:tc>
      </w:tr>
      <w:tr>
        <w:trPr>
          <w:trHeight w:val="237"/>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Additions to acquisition-related contingent consideration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Equipment acquired under capital lease and financing arrangements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39,548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109,914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capital expenditures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1,499</w:t>
            </w:r>
          </w:p>
        </w:tc>
      </w:tr>
      <w:tr>
        <w:trPr>
          <w:trHeight w:val="33"/>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344"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31" w:right="239" w:bottom="34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UNAUDITED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power generation;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2017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2017 contained in the Company’s 2017 Annual Report on Form 10-K (the “2017 Form 10-K”). In management’s opinion, all normal and recurring adjustments considered necessary for a fair presentation of the financial position, results of operations and cash flows for the periods presented have been included.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the equity method of accounting. Equity method investments are recorded as other long-term assets. Income or loss from these investments is recorded as a separate line item in the statements of operations. Intercompany profits or losses associated with the Company’s equity method investments are eliminated until realized by the investee in transactions with third parties.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Equity investments, other than those accounted for as equity method investments or those that are consolidated, are measured at fair value if their fair values are readily determinable. Equity investments that do not have readily determinable fair values are measured at cost, adjusted for changes from observable market transactions, less impairment. Realized and unrealized gains or losses related to equity investments are recognized in other income or expense.</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June 30, 2018, the Company determined that certain of its investment arrangements were VIEs. The Company does not, however, have the power to direct the primary activities that most significantly impact the economic performance of these VIEs and the Company is not the primary beneficiary; accordingly, it has not consolidated these VIEs.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accumulated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31" w:right="2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16"/>
          <w:szCs w:val="16"/>
          <w:color w:val="auto"/>
        </w:rPr>
        <w:t>Company defines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business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The Company adopted the requirements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is also referred to as Accounting Standards Codification (“ASC”) Topic 606 (“Topic 606”), under the modified retrospective transition approach effective January 1, 2018, with application to all existing contracts that were not substantially completed as of January 1, 2018. The difference between the recognition criteria under Topic 606 and the Company’s previous revenue recognition practices under the previous revenue recognition guidance, ASC Topic 605-35, was recognized through a cumulative effect adjustment of approximately $2 million that was made to the opening balance of retained earnings as of January 1, 2018. Consistent with the modified retrospective transition approach, the comparative 2017 prior period was not adjusted to conform to the current period presentation.</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Under Topic 606, revenue is recognized when, or as, control of promised goods and services is transferred to customers, and the amount of revenue recognized reflects the consideration to which an entity expects to be entitled in exchange for the goods and services transferred. The adoption of Topic 606 did not have, and is not expected to have, a material effect on the timing or amount of revenue recognized as compared with the Company’s previous revenue recognition practices. Revenue is recognized by the Company primarily over time utilizing the cost-to-cost measure of progress for fixed price contracts and certain master service and other service agreements, consistent with the Company’s previous revenue recognition practices. Under Topic 606, the cost-to-cost measure of progress best depicts the transfer of control of goods or services to the customer for these contracts.</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Contracts. </w:t>
      </w:r>
      <w:r>
        <w:rPr>
          <w:rFonts w:ascii="Arial" w:cs="Arial" w:eastAsia="Arial" w:hAnsi="Arial"/>
          <w:sz w:val="16"/>
          <w:szCs w:val="16"/>
          <w:color w:val="auto"/>
        </w:rPr>
        <w:t>The Company derives revenue primarily from construction projects performed: i) under master and other service agreements, which provide a menu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services in a specific geographic territory that are utilized on an as-needed basis, and are typically priced using time and materials or a fixed price per unit basis; or ii) under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master service and other service agreements totaled 37% and 31% of consolidated revenue for the three month periods ended June 30, 2018 and 2017, respectively, and totaled 38% and 37% for the six month periods ended June 30, 2018 and 2017, respectively.</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Fixed price contracts provide for a fixed amount of revenue for the entire project. Revenue from these contracts, as well as for certain projects pursuant to master and other service agreements, is recognized over time using the cost-to-cost measure of progress. For these contracts, the cost-to-cost measure of progress best depicts the continuous transfer of control of goods or services to the customer. Such contracts provide that the customer accept completion of progress to date and compensate the Company for services rendered.</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of the Company’s master service and other service agreements, under which it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7% and 8% of consolidated revenue for the three and six month periods ended June 30, 2018, respectively. Substantially all of the Company’s other revenue is recognized over time.</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Contract costs include all direct materials, labor and subcontracted costs, as well as indirect costs related to contract performance, such as indirect labor, supplies, tools, repairs and the operational costs of capital equipment. 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six month periods ended June 30, 2018 and 2017, project profit was affected by less than 5% as a result of changes in contract estimates included in projects that were in process as of December 31, 2017 and 2016. Revenue recognized for the three and six month periods ended June 30, 2018 from performance obligations satisfied, or work completed, in prior periods totaled approximately $5.2 million and $47.4 million, respectively, which represents the effect on revenue for the periods presented of changes in transaction prices from variable consideration on certain projects.</w:t>
      </w:r>
    </w:p>
    <w:p>
      <w:pPr>
        <w:spacing w:after="0" w:line="60"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5"/>
          <w:szCs w:val="15"/>
          <w:color w:val="auto"/>
        </w:rPr>
        <w:t>The timing of customer billings is generally dependent upon advance billing terms, milestone billings based on the completion of certain phases of the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For install-to-the-home contracts, work orders are billed and paid as completed. Amounts billed and due from customers, as well as the amount of contract assets, are classified within accounts receivable, net, in the consolidated balance sheets. See Note 5 - Accounts Receivable, Net of Allowance, and Contract Assets and Liabilities for related discussion. Amounts expected to be collected beyond one year are classified as other long-term assets.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Company’s contracts often require significant integration services, and even when delivering multiple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643" w:right="239" w:bottom="1440" w:gutter="0" w:footer="0" w:header="0"/>
        </w:sectPr>
      </w:pPr>
    </w:p>
    <w:bookmarkStart w:id="8" w:name="page9"/>
    <w:bookmarkEnd w:id="8"/>
    <w:p>
      <w:pPr>
        <w:jc w:val="both"/>
        <w:spacing w:after="0" w:line="261" w:lineRule="auto"/>
        <w:rPr>
          <w:sz w:val="20"/>
          <w:szCs w:val="20"/>
          <w:color w:val="auto"/>
        </w:rPr>
      </w:pPr>
      <w:r>
        <w:rPr>
          <w:rFonts w:ascii="Arial" w:cs="Arial" w:eastAsia="Arial" w:hAnsi="Arial"/>
          <w:sz w:val="16"/>
          <w:szCs w:val="16"/>
          <w:color w:val="auto"/>
        </w:rPr>
        <w:t>distinct services, are generally accounted for as a single performance obligation. Contract amendments and change orders are generally not distinct from the existing contract and are accounted for as a modification of the existing contract and performance obligation. The majority of the Company’s performance obligations are completed within one year.</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Remaining performance obligations represent the amount of unearned transaction prices under contracts for which work is wholly or partially unperformed. As of June 30, 2018, the amount of the Company’s remaining performance obligations was $5.1 billion. The Company expects to recognize approximately $3.0 billion of its remaining performance obligations as revenue during the remainder of 2018, with the balance to be recognized primarily in 2019.</w:t>
      </w:r>
    </w:p>
    <w:p>
      <w:pPr>
        <w:spacing w:after="0" w:line="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Variable Consideration. </w:t>
      </w:r>
      <w:r>
        <w:rPr>
          <w:rFonts w:ascii="Arial" w:cs="Arial" w:eastAsia="Arial" w:hAnsi="Arial"/>
          <w:sz w:val="15"/>
          <w:szCs w:val="15"/>
          <w:color w:val="auto"/>
        </w:rPr>
        <w:t>Transaction prices for the Company’s contracts may include variable consideration, which comprises items such as change orders, claims,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incentives and liquidated damages. Management estimates variable consideration for a performance obligation utilizing estimation methods that best predict the amount of consideration to which the Company will be entitled. Variable consideration is included in the estimated transaction price to the extent it is probable that a significant reversal of cumulative revenue recognized will not occur when the uncertainty associated with the variable consideration is resolved. Management’s estimates of variable consideration and determination of whether to include estimated amounts in transaction price are based largely on engineering studies and legal opinions, past practices with the customer, specific discussions, correspondence or preliminary negotiations with the customer and all other relevant information that is reasonably available. The effect of variable consideration on the transaction price of a performance obligation is typically recognized as an adjustment to revenue on a cumulative catch-up basis. To the extent unapproved change orders, claims and liquidated damages reflected in transaction price are not resolved in the Company’s favor, or to the extent incentives reflected in transaction price are not earned, there could be reductions in, or reversals of, previously recognized revenue.</w:t>
      </w:r>
    </w:p>
    <w:p>
      <w:pPr>
        <w:spacing w:after="0" w:line="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June 30, 2018 and December 31, 2017, the Company included approximately $190 million and $146 million, respectively,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of allowance, as appropriate. As of both June 30, 2018 and December 31, 2017, these change orders and/or claims were primarily related to certain large long-haul pipeline construction projects in the Oil and Gas segment that have either recently been completed, or are expected to reach substantial completion in the coming months.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See the revenue recognition discussion within Significant Accounting Policies above, and the recent accounting pronouncements discussion below, for information pertaining to the effects of recently adopted and other recent accounting pronouncements, as updated from the discussion in the Company’s 2017 Form 10-K.</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Accounting Pronouncements Adopted in 2018</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 xml:space="preserve">In August 2016, the Financial Accounting Standards Board (“FASB”) issued ASU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Receipts and Cash Payments </w:t>
      </w:r>
      <w:r>
        <w:rPr>
          <w:rFonts w:ascii="Arial" w:cs="Arial" w:eastAsia="Arial" w:hAnsi="Arial"/>
          <w:sz w:val="15"/>
          <w:szCs w:val="15"/>
          <w:color w:val="auto"/>
        </w:rPr>
        <w:t>(“ASU 2016-15”) to reduce diversity in practice by providing guidance on the classification of certain cash receipts and payments in the statement</w:t>
      </w:r>
      <w:r>
        <w:rPr>
          <w:rFonts w:ascii="Arial" w:cs="Arial" w:eastAsia="Arial" w:hAnsi="Arial"/>
          <w:sz w:val="15"/>
          <w:szCs w:val="15"/>
          <w:i w:val="1"/>
          <w:iCs w:val="1"/>
          <w:color w:val="auto"/>
        </w:rPr>
        <w:t xml:space="preserve"> </w:t>
      </w:r>
      <w:r>
        <w:rPr>
          <w:rFonts w:ascii="Arial" w:cs="Arial" w:eastAsia="Arial" w:hAnsi="Arial"/>
          <w:sz w:val="15"/>
          <w:szCs w:val="15"/>
          <w:color w:val="auto"/>
        </w:rPr>
        <w:t>of cash flows</w:t>
      </w:r>
      <w:r>
        <w:rPr>
          <w:rFonts w:ascii="Arial" w:cs="Arial" w:eastAsia="Arial" w:hAnsi="Arial"/>
          <w:sz w:val="15"/>
          <w:szCs w:val="15"/>
          <w:color w:val="252525"/>
        </w:rPr>
        <w:t>. This ASU, which the Company adopted</w:t>
      </w:r>
      <w:r>
        <w:rPr>
          <w:rFonts w:ascii="Arial" w:cs="Arial" w:eastAsia="Arial" w:hAnsi="Arial"/>
          <w:sz w:val="15"/>
          <w:szCs w:val="15"/>
          <w:color w:val="auto"/>
        </w:rPr>
        <w:t xml:space="preserve"> as of January 1, 2018, is effective on a retrospective basis, and resulted in the reclassification of certain types of activity in the consolidated statement of cash flows, including the reclassification of $12 million of second quarter 2017 acquisition-related contingent consideration payments in excess of acquisition date liabilities from financing to operating cash flows. Additionally, in connection with the adoption of this ASU, the Company elected to account for distributions received from equity method investees using the nature of distributions approach, under which distributions are classified based on the nature of the activity that generated them. The other provisions of this ASU did not have a material effect on the Company’s consolidated financial statements.</w:t>
      </w:r>
    </w:p>
    <w:p>
      <w:pPr>
        <w:spacing w:after="0" w:line="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Financial Instruments - Overall (Subtopic 825-10): Recognition and Measurement of Financial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Liabilities </w:t>
      </w:r>
      <w:r>
        <w:rPr>
          <w:rFonts w:ascii="Arial" w:cs="Arial" w:eastAsia="Arial" w:hAnsi="Arial"/>
          <w:sz w:val="15"/>
          <w:szCs w:val="15"/>
          <w:color w:val="auto"/>
        </w:rPr>
        <w:t>(“ASU 2016-01”), which was further amended in February and in March 2018 by ASU 2018-03,</w:t>
      </w:r>
      <w:r>
        <w:rPr>
          <w:rFonts w:ascii="Arial" w:cs="Arial" w:eastAsia="Arial" w:hAnsi="Arial"/>
          <w:sz w:val="15"/>
          <w:szCs w:val="15"/>
          <w:i w:val="1"/>
          <w:iCs w:val="1"/>
          <w:color w:val="auto"/>
        </w:rPr>
        <w:t xml:space="preserve"> Technical Corrections and Improvements to Financial Instruments - Overall (Subtopic 825-10): Recognition and Measurement of Financial Assets and Financial Liabilities </w:t>
      </w:r>
      <w:r>
        <w:rPr>
          <w:rFonts w:ascii="Arial" w:cs="Arial" w:eastAsia="Arial" w:hAnsi="Arial"/>
          <w:sz w:val="15"/>
          <w:szCs w:val="15"/>
          <w:color w:val="auto"/>
        </w:rPr>
        <w:t>(“ASU 2018-03”) and ASU 2018-04,</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52525"/>
        </w:rPr>
        <w:t>Investments - Debt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52525"/>
        </w:rPr>
        <w:t>Securities (Topic 320) and Regulated Operations (Topic 980):</w:t>
      </w:r>
      <w:r>
        <w:rPr>
          <w:rFonts w:ascii="Arial" w:cs="Arial" w:eastAsia="Arial" w:hAnsi="Arial"/>
          <w:sz w:val="15"/>
          <w:szCs w:val="15"/>
          <w:i w:val="1"/>
          <w:iCs w:val="1"/>
          <w:color w:val="000000"/>
        </w:rPr>
        <w:t xml:space="preserve">Amendments to SEC Paragraphs Pursuant to SEC Staff Accounting Bulletin No. 117 and SEC Release No. 33-9273 </w:t>
      </w:r>
      <w:r>
        <w:rPr>
          <w:rFonts w:ascii="Arial" w:cs="Arial" w:eastAsia="Arial" w:hAnsi="Arial"/>
          <w:sz w:val="15"/>
          <w:szCs w:val="15"/>
          <w:color w:val="000000"/>
        </w:rPr>
        <w:t>(“ASU 2018-04”) to clarify certain aspects of ASU 2016-01 and to update Securities and Exchange Commission (“SEC”) interpretive guidance in connection with the</w:t>
      </w:r>
      <w:r>
        <w:rPr>
          <w:rFonts w:ascii="Arial" w:cs="Arial" w:eastAsia="Arial" w:hAnsi="Arial"/>
          <w:sz w:val="15"/>
          <w:szCs w:val="15"/>
          <w:i w:val="1"/>
          <w:iCs w:val="1"/>
          <w:color w:val="000000"/>
        </w:rPr>
        <w:t xml:space="preserve"> </w:t>
      </w:r>
      <w:r>
        <w:rPr>
          <w:rFonts w:ascii="Arial" w:cs="Arial" w:eastAsia="Arial" w:hAnsi="Arial"/>
          <w:sz w:val="15"/>
          <w:szCs w:val="15"/>
          <w:color w:val="000000"/>
        </w:rPr>
        <w:t xml:space="preserve">provisions of ASU 2016-01. These ASUs provide guidance for the recognition, measurement, presentation and disclosure of financial assets and financial liabilities, including equity investments other than </w:t>
      </w:r>
      <w:r>
        <w:rPr>
          <w:rFonts w:ascii="Arial" w:cs="Arial" w:eastAsia="Arial" w:hAnsi="Arial"/>
          <w:sz w:val="15"/>
          <w:szCs w:val="15"/>
          <w:color w:val="252525"/>
        </w:rPr>
        <w:t>those accounted for under the equity method of accounting or those that are consolidated</w:t>
      </w:r>
      <w:r>
        <w:rPr>
          <w:rFonts w:ascii="Arial" w:cs="Arial" w:eastAsia="Arial" w:hAnsi="Arial"/>
          <w:sz w:val="15"/>
          <w:szCs w:val="15"/>
          <w:color w:val="000000"/>
        </w:rPr>
        <w:t xml:space="preserve">. </w:t>
      </w:r>
      <w:r>
        <w:rPr>
          <w:rFonts w:ascii="Arial" w:cs="Arial" w:eastAsia="Arial" w:hAnsi="Arial"/>
          <w:sz w:val="15"/>
          <w:szCs w:val="15"/>
          <w:color w:val="252525"/>
        </w:rPr>
        <w:t>Equity investments within the scope of these ASUs are</w:t>
      </w:r>
      <w:r>
        <w:rPr>
          <w:rFonts w:ascii="Arial" w:cs="Arial" w:eastAsia="Arial" w:hAnsi="Arial"/>
          <w:sz w:val="15"/>
          <w:szCs w:val="15"/>
          <w:color w:val="000000"/>
        </w:rPr>
        <w:t xml:space="preserve"> </w:t>
      </w:r>
      <w:r>
        <w:rPr>
          <w:rFonts w:ascii="Arial" w:cs="Arial" w:eastAsia="Arial" w:hAnsi="Arial"/>
          <w:sz w:val="15"/>
          <w:szCs w:val="15"/>
          <w:color w:val="252525"/>
        </w:rPr>
        <w:t xml:space="preserve">required to be measured at fair value with changes in fair value recognized in net income. Equity investments that do not have readily determinable fair values are permitted to be measured at cost, less any impairment, plus or minus any changes resulting from observable price changes for identical or similar investments of the same issuer (the “measurement alternative”). The Company adopted these ASUs as of January 1, 2018, which was applicable to the Company on a prospective basis for its equity investments as they do not have readily determinable fair values, and for which the Company elected to utilize the measurement alternative. The adoption of these ASUs will result in volatility in other income (expense), net, upon the occurrence of any observable price changes or impairments related to its equity investments. For further information pertaining to the Company’s equity investments, see </w:t>
      </w:r>
      <w:r>
        <w:rPr>
          <w:rFonts w:ascii="Arial" w:cs="Arial" w:eastAsia="Arial" w:hAnsi="Arial"/>
          <w:sz w:val="15"/>
          <w:szCs w:val="15"/>
          <w:color w:val="000000"/>
        </w:rPr>
        <w:t>Note 4</w:t>
      </w:r>
      <w:r>
        <w:rPr>
          <w:rFonts w:ascii="Arial" w:cs="Arial" w:eastAsia="Arial" w:hAnsi="Arial"/>
          <w:sz w:val="15"/>
          <w:szCs w:val="15"/>
          <w:color w:val="252525"/>
        </w:rPr>
        <w:t xml:space="preserve"> - </w:t>
      </w:r>
      <w:r>
        <w:rPr>
          <w:rFonts w:ascii="Arial" w:cs="Arial" w:eastAsia="Arial" w:hAnsi="Arial"/>
          <w:sz w:val="15"/>
          <w:szCs w:val="15"/>
          <w:color w:val="000000"/>
        </w:rPr>
        <w:t>Fair Value of Financial Instruments</w:t>
      </w:r>
      <w:r>
        <w:rPr>
          <w:rFonts w:ascii="Arial" w:cs="Arial" w:eastAsia="Arial" w:hAnsi="Arial"/>
          <w:sz w:val="15"/>
          <w:szCs w:val="15"/>
          <w:color w:val="252525"/>
        </w:rPr>
        <w:t xml:space="preserve">. </w:t>
      </w:r>
      <w:r>
        <w:rPr>
          <w:rFonts w:ascii="Arial" w:cs="Arial" w:eastAsia="Arial" w:hAnsi="Arial"/>
          <w:sz w:val="15"/>
          <w:szCs w:val="15"/>
          <w:color w:val="000000"/>
        </w:rPr>
        <w:t>The other provisions of these ASUs did not have a material effect on the</w:t>
      </w:r>
      <w:r>
        <w:rPr>
          <w:rFonts w:ascii="Arial" w:cs="Arial" w:eastAsia="Arial" w:hAnsi="Arial"/>
          <w:sz w:val="15"/>
          <w:szCs w:val="15"/>
          <w:color w:val="252525"/>
        </w:rPr>
        <w:t xml:space="preserve"> </w:t>
      </w:r>
      <w:r>
        <w:rPr>
          <w:rFonts w:ascii="Arial" w:cs="Arial" w:eastAsia="Arial" w:hAnsi="Arial"/>
          <w:sz w:val="15"/>
          <w:szCs w:val="15"/>
          <w:color w:val="000000"/>
        </w:rPr>
        <w:t>Company’s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643"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 xml:space="preserve">In June 2018, the FASB issued ASU 2018-07, </w:t>
      </w:r>
      <w:r>
        <w:rPr>
          <w:rFonts w:ascii="Arial" w:cs="Arial" w:eastAsia="Arial" w:hAnsi="Arial"/>
          <w:sz w:val="15"/>
          <w:szCs w:val="15"/>
          <w:i w:val="1"/>
          <w:iCs w:val="1"/>
          <w:color w:val="auto"/>
        </w:rPr>
        <w:t>Compensation-Stock Compensation (Topic 718) - Improvements to Nonemployee Share-Based Payment Accounting</w:t>
      </w:r>
      <w:r>
        <w:rPr>
          <w:rFonts w:ascii="Arial" w:cs="Arial" w:eastAsia="Arial" w:hAnsi="Arial"/>
          <w:sz w:val="15"/>
          <w:szCs w:val="15"/>
          <w:color w:val="auto"/>
        </w:rPr>
        <w:t xml:space="preserve"> (“ASU 2018-07”). </w:t>
      </w:r>
      <w:r>
        <w:rPr>
          <w:rFonts w:ascii="Arial" w:cs="Arial" w:eastAsia="Arial" w:hAnsi="Arial"/>
          <w:sz w:val="15"/>
          <w:szCs w:val="15"/>
          <w:color w:val="252525"/>
        </w:rPr>
        <w:t>ASU 2018-07 expands the guidance in Topic 718 to include share-based payments for goods and services to non-employees and generally aligns it with the</w:t>
      </w:r>
      <w:r>
        <w:rPr>
          <w:rFonts w:ascii="Arial" w:cs="Arial" w:eastAsia="Arial" w:hAnsi="Arial"/>
          <w:sz w:val="15"/>
          <w:szCs w:val="15"/>
          <w:color w:val="auto"/>
        </w:rPr>
        <w:t xml:space="preserve"> </w:t>
      </w:r>
      <w:r>
        <w:rPr>
          <w:rFonts w:ascii="Arial" w:cs="Arial" w:eastAsia="Arial" w:hAnsi="Arial"/>
          <w:sz w:val="15"/>
          <w:szCs w:val="15"/>
          <w:color w:val="252525"/>
        </w:rPr>
        <w:t xml:space="preserve">guidance for share-based payments to employees. </w:t>
      </w:r>
      <w:r>
        <w:rPr>
          <w:rFonts w:ascii="Arial" w:cs="Arial" w:eastAsia="Arial" w:hAnsi="Arial"/>
          <w:sz w:val="15"/>
          <w:szCs w:val="15"/>
          <w:color w:val="000000"/>
        </w:rPr>
        <w:t>ASU 2018-07 is effective for fiscal years, and for interim periods within those fiscal years, beginning after December 15,</w:t>
      </w:r>
      <w:r>
        <w:rPr>
          <w:rFonts w:ascii="Arial" w:cs="Arial" w:eastAsia="Arial" w:hAnsi="Arial"/>
          <w:sz w:val="15"/>
          <w:szCs w:val="15"/>
          <w:color w:val="252525"/>
        </w:rPr>
        <w:t xml:space="preserve"> </w:t>
      </w:r>
      <w:r>
        <w:rPr>
          <w:rFonts w:ascii="Arial" w:cs="Arial" w:eastAsia="Arial" w:hAnsi="Arial"/>
          <w:sz w:val="15"/>
          <w:szCs w:val="15"/>
          <w:color w:val="000000"/>
        </w:rPr>
        <w:t xml:space="preserve">2018, with early adoption permitted. </w:t>
      </w:r>
      <w:r>
        <w:rPr>
          <w:rFonts w:ascii="Arial" w:cs="Arial" w:eastAsia="Arial" w:hAnsi="Arial"/>
          <w:sz w:val="15"/>
          <w:szCs w:val="15"/>
          <w:color w:val="252525"/>
        </w:rPr>
        <w:t>The Company is currently evaluating the effect of this ASU on its consolidated financial statements.</w:t>
      </w:r>
    </w:p>
    <w:p>
      <w:pPr>
        <w:spacing w:after="0" w:line="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252525"/>
        </w:rPr>
        <w:t xml:space="preserve">In February 2016, the FASB issued ASU 2016-02, </w:t>
      </w:r>
      <w:r>
        <w:rPr>
          <w:rFonts w:ascii="Arial" w:cs="Arial" w:eastAsia="Arial" w:hAnsi="Arial"/>
          <w:sz w:val="15"/>
          <w:szCs w:val="15"/>
          <w:i w:val="1"/>
          <w:iCs w:val="1"/>
          <w:color w:val="252525"/>
        </w:rPr>
        <w:t>Leases (Topic 842)</w:t>
      </w:r>
      <w:r>
        <w:rPr>
          <w:rFonts w:ascii="Arial" w:cs="Arial" w:eastAsia="Arial" w:hAnsi="Arial"/>
          <w:sz w:val="15"/>
          <w:szCs w:val="15"/>
          <w:color w:val="252525"/>
        </w:rPr>
        <w:t xml:space="preserve"> (“ASU 2016-02”)</w:t>
      </w:r>
      <w:r>
        <w:rPr>
          <w:rFonts w:ascii="Arial" w:cs="Arial" w:eastAsia="Arial" w:hAnsi="Arial"/>
          <w:sz w:val="15"/>
          <w:szCs w:val="15"/>
          <w:color w:val="000000"/>
        </w:rPr>
        <w:t>, which was further clarified and amended in July 2018 by ASU 2018-10,</w:t>
      </w:r>
      <w:r>
        <w:rPr>
          <w:rFonts w:ascii="Arial" w:cs="Arial" w:eastAsia="Arial" w:hAnsi="Arial"/>
          <w:sz w:val="15"/>
          <w:szCs w:val="15"/>
          <w:color w:val="252525"/>
        </w:rPr>
        <w:t xml:space="preserve"> </w:t>
      </w:r>
      <w:r>
        <w:rPr>
          <w:rFonts w:ascii="Arial" w:cs="Arial" w:eastAsia="Arial" w:hAnsi="Arial"/>
          <w:sz w:val="15"/>
          <w:szCs w:val="15"/>
          <w:i w:val="1"/>
          <w:iCs w:val="1"/>
          <w:color w:val="000000"/>
        </w:rPr>
        <w:t xml:space="preserve">Codification Improvements to Topic 842, Leases </w:t>
      </w:r>
      <w:r>
        <w:rPr>
          <w:rFonts w:ascii="Arial" w:cs="Arial" w:eastAsia="Arial" w:hAnsi="Arial"/>
          <w:sz w:val="15"/>
          <w:szCs w:val="15"/>
          <w:color w:val="000000"/>
        </w:rPr>
        <w:t>(“ASU 2018-10”) and ASU 2018-11,</w:t>
      </w:r>
      <w:r>
        <w:rPr>
          <w:rFonts w:ascii="Arial" w:cs="Arial" w:eastAsia="Arial" w:hAnsi="Arial"/>
          <w:sz w:val="15"/>
          <w:szCs w:val="15"/>
          <w:i w:val="1"/>
          <w:iCs w:val="1"/>
          <w:color w:val="000000"/>
        </w:rPr>
        <w:t xml:space="preserve"> Leases (Topic 842): Targeted Improvements </w:t>
      </w:r>
      <w:r>
        <w:rPr>
          <w:rFonts w:ascii="Arial" w:cs="Arial" w:eastAsia="Arial" w:hAnsi="Arial"/>
          <w:sz w:val="15"/>
          <w:szCs w:val="15"/>
          <w:color w:val="000000"/>
        </w:rPr>
        <w:t>(“ASU 2018-11”)</w:t>
      </w:r>
      <w:r>
        <w:rPr>
          <w:rFonts w:ascii="Arial" w:cs="Arial" w:eastAsia="Arial" w:hAnsi="Arial"/>
          <w:sz w:val="15"/>
          <w:szCs w:val="15"/>
          <w:color w:val="252525"/>
        </w:rPr>
        <w:t>. These ASUs provide</w:t>
      </w:r>
      <w:r>
        <w:rPr>
          <w:rFonts w:ascii="Arial" w:cs="Arial" w:eastAsia="Arial" w:hAnsi="Arial"/>
          <w:sz w:val="15"/>
          <w:szCs w:val="15"/>
          <w:i w:val="1"/>
          <w:iCs w:val="1"/>
          <w:color w:val="000000"/>
        </w:rPr>
        <w:t xml:space="preserve"> </w:t>
      </w:r>
      <w:r>
        <w:rPr>
          <w:rFonts w:ascii="Arial" w:cs="Arial" w:eastAsia="Arial" w:hAnsi="Arial"/>
          <w:sz w:val="15"/>
          <w:szCs w:val="15"/>
          <w:color w:val="252525"/>
        </w:rPr>
        <w:t xml:space="preserve">revised guidance for lease accounting and related disclosure requirements, including a requirement for lessees to recognize right-of use assets and lease liabilities on the balance sheet for leases with durations greater than twelve months. These ASUs are effective for fiscal years, and for interim periods within those fiscal years, beginning after December 15, 2018, with early adoption permitted. As issued, ASU 2016-02 required modified retrospective application for all leases existing as of, or entered into after, the beginning of the earliest comparative period presented in the consolidated financial statements, with certain practical expedients available. ASU 2018-11 simplifies the transition requirements by providing companies an option to initially apply the new lease requirements as of the date of adoption and recognize a cumulative effect adjustment to the opening balance of retained earnings in the period of adoption. Under this guidance, comparative periods would not need to be restated. The Company will adopt these ASUs as of January 1, 2019, and upon adoption, </w:t>
      </w:r>
      <w:r>
        <w:rPr>
          <w:rFonts w:ascii="Arial" w:cs="Arial" w:eastAsia="Arial" w:hAnsi="Arial"/>
          <w:sz w:val="15"/>
          <w:szCs w:val="15"/>
          <w:color w:val="000000"/>
        </w:rPr>
        <w:t>expects to utilize the package of practical expedients that allow entities to retain the classification of lease contracts existing as</w:t>
      </w:r>
      <w:r>
        <w:rPr>
          <w:rFonts w:ascii="Arial" w:cs="Arial" w:eastAsia="Arial" w:hAnsi="Arial"/>
          <w:sz w:val="15"/>
          <w:szCs w:val="15"/>
          <w:color w:val="252525"/>
        </w:rPr>
        <w:t xml:space="preserve"> </w:t>
      </w:r>
      <w:r>
        <w:rPr>
          <w:rFonts w:ascii="Arial" w:cs="Arial" w:eastAsia="Arial" w:hAnsi="Arial"/>
          <w:sz w:val="15"/>
          <w:szCs w:val="15"/>
          <w:color w:val="000000"/>
        </w:rPr>
        <w:t>of the date of adoption. The Company is evaluating the transition alternatives as provided under ASU 2018-11.</w:t>
      </w:r>
    </w:p>
    <w:p>
      <w:pPr>
        <w:spacing w:after="0" w:line="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252525"/>
        </w:rPr>
        <w:t>The Company is continuing to assess the potential effects of these ASUs, which have not yet been quantified, on its consolidated financial statements, business processes, systems and controls. The Company’s assessment, which it expects to substantially complete in the fourth quarter of 2018, includes an evaluation of its existing lease portfolio, a comparison of its historical accounting policies and practices to the new standard, and an evaluation of the effect of certain accounting policy elections. The Company expects to implement a new lease accounting and administration software solution in connection with the new standard. In addition, the Company is evaluating certain changes to its current business processes and internal controls to meet the reporting and disclosure requirements of the new standard.</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52525"/>
        </w:rPr>
        <w:t xml:space="preserve">These ASUs are not expected to have a material effect on the amount of expense recognized in connection with the Company’s current leasing arrangements as compared to current practice, however, based on the Company’s preliminary review of its lease contracts to date, it anticipates that it will recognize incremental lease assets and liabilities on its consolidated balance sheets upon adoption of the standard, and that the amount of such incremental lease assets and lease liabilities will be material. The Company’s expectations may change as its assessment progresses. For information about the Company’s future lease commitments as of December 31, 2017, see Note 8 - Lease Obligations, in the Company’s </w:t>
      </w:r>
      <w:r>
        <w:rPr>
          <w:rFonts w:ascii="Arial" w:cs="Arial" w:eastAsia="Arial" w:hAnsi="Arial"/>
          <w:sz w:val="16"/>
          <w:szCs w:val="16"/>
          <w:color w:val="000000"/>
        </w:rPr>
        <w:t>2017</w:t>
      </w:r>
      <w:r>
        <w:rPr>
          <w:rFonts w:ascii="Arial" w:cs="Arial" w:eastAsia="Arial" w:hAnsi="Arial"/>
          <w:sz w:val="16"/>
          <w:szCs w:val="16"/>
          <w:color w:val="252525"/>
        </w:rPr>
        <w:t xml:space="preserve"> Form 10-K.</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or loss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40" w:type="dxa"/>
            <w:vAlign w:val="bottom"/>
          </w:tcPr>
          <w:p>
            <w:pPr>
              <w:spacing w:after="0"/>
              <w:rPr>
                <w:sz w:val="17"/>
                <w:szCs w:val="17"/>
                <w:color w:val="auto"/>
              </w:rPr>
            </w:pPr>
          </w:p>
        </w:tc>
        <w:tc>
          <w:tcPr>
            <w:tcW w:w="20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For the Six Months Ended</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80,492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81,668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107,052</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122,638</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78,984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80,925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80,061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80,812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Dilutive common stock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17"/>
        </w:trPr>
        <w:tc>
          <w:tcPr>
            <w:tcW w:w="698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80,062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82,292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81,136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82,226</w:t>
            </w:r>
          </w:p>
        </w:tc>
        <w:tc>
          <w:tcPr>
            <w:tcW w:w="0" w:type="dxa"/>
            <w:vAlign w:val="bottom"/>
          </w:tcPr>
          <w:p>
            <w:pPr>
              <w:spacing w:after="0"/>
              <w:rPr>
                <w:sz w:val="1"/>
                <w:szCs w:val="1"/>
                <w:color w:val="auto"/>
              </w:rPr>
            </w:pPr>
          </w:p>
        </w:tc>
      </w:tr>
      <w:tr>
        <w:trPr>
          <w:trHeight w:val="33"/>
        </w:trPr>
        <w:tc>
          <w:tcPr>
            <w:tcW w:w="6980" w:type="dxa"/>
            <w:vAlign w:val="bottom"/>
            <w:vMerge w:val="restart"/>
          </w:tcPr>
          <w:p>
            <w:pPr>
              <w:ind w:left="40"/>
              <w:spacing w:after="0"/>
              <w:rPr>
                <w:sz w:val="20"/>
                <w:szCs w:val="20"/>
                <w:color w:val="auto"/>
              </w:rPr>
            </w:pPr>
            <w:r>
              <w:rPr>
                <w:rFonts w:ascii="Arial" w:cs="Arial" w:eastAsia="Arial" w:hAnsi="Arial"/>
                <w:sz w:val="16"/>
                <w:szCs w:val="16"/>
                <w:color w:val="auto"/>
              </w:rPr>
              <w:t>Additional information:</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Weighted average anti-dilutive common stock equivalents </w:t>
            </w:r>
            <w:r>
              <w:rPr>
                <w:rFonts w:ascii="Arial" w:cs="Arial" w:eastAsia="Arial" w:hAnsi="Arial"/>
                <w:sz w:val="21"/>
                <w:szCs w:val="21"/>
                <w:color w:val="auto"/>
                <w:vertAlign w:val="superscript"/>
              </w:rPr>
              <w:t>(b)</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anti-dilutive common stock equivalents as calculated under the treasury stock method.</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repurchased approximately 0.7 million and 2.7 million shares of its common stock during the three and six month periods ended June 30, 2018, respectively, as discussed in Note 11 - Equity. Current year share repurchases reduced the Company’s weighted average shares outstanding by 2.5 million shares for the three month period ended June 30, 2018, and by 1.4 million shares for the six month period ended June 30, 2018 as compared with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4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June 30, 2018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467.8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458.1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1,218.2</w:t>
            </w:r>
          </w:p>
        </w:tc>
      </w:tr>
      <w:tr>
        <w:trPr>
          <w:trHeight w:val="246"/>
        </w:trPr>
        <w:tc>
          <w:tcPr>
            <w:tcW w:w="5040" w:type="dxa"/>
            <w:vAlign w:val="bottom"/>
          </w:tcPr>
          <w:p>
            <w:pPr>
              <w:ind w:left="18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(71.6)</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467.8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386.5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1,146.6</w:t>
            </w:r>
          </w:p>
        </w:tc>
      </w:tr>
    </w:tbl>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the six month period ended June 30, 2018, goodwill included additions of $9.8 million from new business combinations and a net increase of $1.6 million from measurement period adjustments. The net measurement period adjustment consisted primarily of adjustments related to deferred tax liabilities, estimated earn-out liabilities and other purchase price adjustments. For the six month period ended June 30, 2018, currency translation effects related to goodwill and accumulated impairment losses totaled approximately $5.8 million of losses and $3.2 million of gains,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gross, as of December 31, 2017</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amortization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 as of December 31, 2017</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Additions from new business combinations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5"/>
          <w:szCs w:val="25"/>
          <w:b w:val="1"/>
          <w:bCs w:val="1"/>
          <w:color w:val="auto"/>
          <w:vertAlign w:val="superscript"/>
        </w:rPr>
        <w:t>(b)</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expense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Currency translation adjustments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 as of June 30, 2018</w:t>
      </w:r>
    </w:p>
    <w:p>
      <w:pPr>
        <w:spacing w:after="0" w:line="11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Consists principally of trade names and non-compete agreements.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3910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5"/>
                <w:szCs w:val="15"/>
                <w:b w:val="1"/>
                <w:bCs w:val="1"/>
                <w:color w:val="auto"/>
              </w:rPr>
              <w:t>Non-Amortizing</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Amortizing</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Trade Names</w:t>
            </w:r>
          </w:p>
        </w:tc>
        <w:tc>
          <w:tcPr>
            <w:tcW w:w="1400" w:type="dxa"/>
            <w:vAlign w:val="bottom"/>
            <w:gridSpan w:val="3"/>
          </w:tcPr>
          <w:p>
            <w:pPr>
              <w:ind w:left="40"/>
              <w:spacing w:after="0"/>
              <w:rPr>
                <w:sz w:val="20"/>
                <w:szCs w:val="20"/>
                <w:color w:val="auto"/>
              </w:rPr>
            </w:pPr>
            <w:r>
              <w:rPr>
                <w:rFonts w:ascii="Arial" w:cs="Arial" w:eastAsia="Arial" w:hAnsi="Arial"/>
                <w:sz w:val="15"/>
                <w:szCs w:val="15"/>
                <w:b w:val="1"/>
                <w:bCs w:val="1"/>
                <w:color w:val="auto"/>
              </w:rPr>
              <w:t>Pre-Qualifications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2"/>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77.6</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223.0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356.9</w:t>
            </w:r>
          </w:p>
        </w:tc>
        <w:tc>
          <w:tcPr>
            <w:tcW w:w="0" w:type="dxa"/>
            <w:vAlign w:val="bottom"/>
          </w:tcPr>
          <w:p>
            <w:pPr>
              <w:spacing w:after="0"/>
              <w:rPr>
                <w:sz w:val="1"/>
                <w:szCs w:val="1"/>
                <w:color w:val="auto"/>
              </w:rPr>
            </w:pPr>
          </w:p>
        </w:tc>
      </w:tr>
      <w:tr>
        <w:trPr>
          <w:trHeight w:val="274"/>
        </w:trPr>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(165.8)</w:t>
            </w:r>
          </w:p>
        </w:tc>
        <w:tc>
          <w:tcPr>
            <w:tcW w:w="0" w:type="dxa"/>
            <w:vAlign w:val="bottom"/>
          </w:tcPr>
          <w:p>
            <w:pPr>
              <w:spacing w:after="0"/>
              <w:rPr>
                <w:sz w:val="1"/>
                <w:szCs w:val="1"/>
                <w:color w:val="auto"/>
              </w:rPr>
            </w:pP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77.6</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70.6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191.1</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75.6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64.2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-1379855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-1036955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-694055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-351155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540" w:space="720"/>
            <w:col w:w="6160"/>
          </w:cols>
          <w:pgMar w:left="240" w:top="801" w:right="239" w:bottom="1440" w:gutter="0" w:footer="0" w:header="0"/>
          <w:type w:val="continuous"/>
        </w:sect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the fair values of intangible assets acquired within the measurement period for the Company’s 2017 acquisitions.</w:t>
      </w:r>
    </w:p>
    <w:p>
      <w:pPr>
        <w:spacing w:after="0" w:line="22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three month periods ended June 30, 2018 and 2017 totaled $5.4 million and $4.9 million, respectively, and for the six month periods ended June 30, 2018 and 2017, totaled $10.3 million and $9.0 million, respectively.</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2018 Acquisitions. </w:t>
      </w:r>
      <w:r>
        <w:rPr>
          <w:rFonts w:ascii="Arial" w:cs="Arial" w:eastAsia="Arial" w:hAnsi="Arial"/>
          <w:sz w:val="16"/>
          <w:szCs w:val="16"/>
          <w:color w:val="auto"/>
        </w:rPr>
        <w:t>During the first quarter of 2018, MasTec acquired all of the equity interests in a construction management firm specializing in steel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acquired a wind turbine services company, both of which are included in the Company’s Power Generation and Industrial segment. The aggregate purchase price for these entities was composed of approximately $6.8 million in cash and estimated earn-out liabilities totaling $0.8 million as of June 30, 2018. Determination of the estimated fair values of the net assets acquired and the estimated earn-out liabilities for these acquisitions was preliminary as of June 30, 2018; as a result, further adjustments to these estimates may occur.</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2017 Acquisitions. </w:t>
      </w:r>
      <w:r>
        <w:rPr>
          <w:rFonts w:ascii="Arial" w:cs="Arial" w:eastAsia="Arial" w:hAnsi="Arial"/>
          <w:sz w:val="16"/>
          <w:szCs w:val="16"/>
          <w:color w:val="auto"/>
        </w:rPr>
        <w:t>During 2017, MasTec completed three acquisitions, which included all of the equity interests in: (i) a wireline/fiber deployment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 Determination of the estimated fair values of the net assets acquired and the estimated earn-out liabilities for certain of these acquisitions was preliminary as of June 30, 2018; as a result, further adjustments to these estimates may occur.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summarizes the estimated fair values of consideration paid and net assets acquired as of the respective dates of acquisition, as adjusted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01"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Acquisition consideration:</w:t>
            </w:r>
          </w:p>
        </w:tc>
        <w:tc>
          <w:tcPr>
            <w:tcW w:w="500" w:type="dxa"/>
            <w:vAlign w:val="bottom"/>
          </w:tcPr>
          <w:p>
            <w:pPr>
              <w:spacing w:after="0"/>
              <w:rPr>
                <w:sz w:val="18"/>
                <w:szCs w:val="18"/>
                <w:color w:val="auto"/>
              </w:rPr>
            </w:pPr>
          </w:p>
        </w:tc>
        <w:tc>
          <w:tcPr>
            <w:tcW w:w="16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120.4</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Fair value of contingent consideration (earn-out liability)</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96.3</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 transferred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216.7</w:t>
            </w:r>
          </w:p>
        </w:tc>
      </w:tr>
      <w:tr>
        <w:trPr>
          <w:trHeight w:val="231"/>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primarily composed of accounts receivable and $2.8 million of cash acquired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Property and equipment and other long-term assets</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57.2</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Amortizing 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28.1</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Current liabilities, including current portion of capital lease obligations and long-term debt</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(29.5)</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including capital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Deferred income taxes and other long-term liabilities</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(12.0)</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net assets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77.7</w:t>
            </w:r>
          </w:p>
        </w:tc>
      </w:tr>
      <w:tr>
        <w:trPr>
          <w:trHeight w:val="217"/>
        </w:trPr>
        <w:tc>
          <w:tcPr>
            <w:tcW w:w="92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139.0</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assets acquired, including goodwill</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216.7</w:t>
            </w:r>
          </w:p>
        </w:tc>
      </w:tr>
      <w:tr>
        <w:trPr>
          <w:trHeight w:val="20"/>
        </w:trPr>
        <w:tc>
          <w:tcPr>
            <w:tcW w:w="9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Amortizing intangible assets related to the 2017 acquisitions are primarily composed of customer relationships, backlog and certain other intangible assets, which had weighted average lives, as adjusted, of approximately 11 years, 4 years and 6 years, respectively, and a weighted average life of 10 years in total. Amortizing intangible assets are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 industry-specific project management expertise, as well as synergies expected to be achieved from the combined operations of the acquired companies and MasTec. Approximately $92 million of the acquired goodwill balance as of June 30, 2018 is expected to be tax deductible.</w:t>
      </w:r>
    </w:p>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contingent consideration included in the table above equals a portion of the acquired companies’ earnings before interest, taxes, depreciation and amortization (“EBITDA”), in certain cases in excess of thresholds agreed upon with the sellers, if applicable, for a period of five years, as set forth in the respective purchase agreements, which amounts are payable annually. The fair values of the earn-out liabilities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a significantly higher or lower potential earn-out liability. As of June 30, 2018, the range of remaining potential undiscounted earn-out liabilities for the 2017 acquisitions was estimated to be between $10 million and $161 million; however, there is no maximum payment amount.</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For the three month periods ended June 30, 2018 and 2017, unaudited supplemental pro forma revenue totaled approximately $1,617.4 million and $1,924.0 million, respectively, and unaudited supplemental pro forma net income totaled approximately $80.6 million and $84.7 million, respectively. For the six month periods ended June 30, 2018 and 2017, unaudited supplemental pro forma revenue totaled approximately $3,017.7 million and $3,144.2 million, respectively, and unaudited supplemental pro forma net income totaled approximately $104.7 million and $127.1 million, respectively. These unaudited pro forma financial results represent the results of operations of the companies acquired as if the acquired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adjusting the historical results of MasTec to include the historical results of the acquired businesses described above, and then adjusted for (i) acquisition costs; (ii) amortization expense resulting from the acquired intangible assets; (iii) interest expense as a result of the cash consideration paid; (iv) interest expense from debt repaid upon acquisition; and (iv) elimination of the effects of intercompany transactions and other purchase accounting related adjustments. These unaudited pro forma financial results do not include adjustments to reflect other cost savings or synergies that may have resulted from these acquisitions. Future results may vary significantly due to future events and transactions, as well as other factors, many of which are beyond the Company’s control.</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For the three and six month periods ended June 30, 2018, the Company’s consolidated results of operations included acquisition-related revenue of approximately $45.7 million and $122.6 million, respectively, and acquisition-related net income of approximately $0.5 million and $2.5 million, respectively, based on the Company’s consolidated effective tax rate. For both the three and six month periods ended June 30, 2017, the Company’s consolidated results of operations included acquisition-related revenue of approximately $33.9 million and acquisition-related net income of approximately $1.6 million, based on the Company’s consolidated effective tax rate. These acquisition-related results do not include the effects of acquisition costs or interest expense associated with consideration paid for the related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equity investments, life insurance assets, cash collateral deposited with insurance carriers, deferred compensation plan assets and liabilities, accounts payable and other current liabilities, acquisition-related contingent consideration and debt obligations.</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93" w:right="2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6"/>
          <w:szCs w:val="16"/>
          <w:color w:val="auto"/>
        </w:rPr>
        <w:t>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facilities approximate their fair values.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Acquisition-related contingent consideration, or “earn-out” liabilities, represent the estimated fair value of future amounts payable for acquisitions of businesses and other interests. Acquisition-related contingent consideration is based on management estimates and entity-specific assumptions, which are Level 3 inputs, and are evaluated on an ongoing basis. As of June 30, 2018 and December 31, 2017, the estimated fair value of the Company’s earn-out liabilities totaled $102.0 million and $117.2 million, respectively, of which $26.0 million and $22.6 million, respectively, was included within other current liabilities. The fair value of the Company’s earn-out liabilities is estimated using income approaches such as discounted cash flows or option pricing models and incorporates significant inputs not observable in the market. Key assumptions include the discount rate and probability-weighted EBITDA projections. Significant changes in any of these assumptions could result in a significantly higher or lower potential earn-out liability. As of June 30, 2018, the range of potential undiscounted earn-out liabilities was estimated to be between $16 million and $171 million; however, there is no maximum payment amount.</w:t>
      </w:r>
    </w:p>
    <w:p>
      <w:pPr>
        <w:spacing w:after="0" w:line="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4"/>
          <w:szCs w:val="14"/>
          <w:color w:val="auto"/>
        </w:rPr>
        <w:t>Acquisition-related contingent consideration activity consists primarily of additions from new business combinations and acquisitions of other interests; payments; and changes in the expected fair value of future earn-out obligations. Fair value adjustments for earn-out liabilities that relate to circumstances that developed after the date of acquisition are recorded within other income or expense, as appropriate. Fair value adjustments for earn-out liabilities that relate to new information obtained about the facts and circumstances that existed as of the date of acquisition, which are referred to as measurement period adjustments, are recorded to goodwill. There were no additions to acquisition-related contingent consideration from new business combinations for the three month period ended June 30, 2018, and additions for the six month period ended June 30, 2018 totaled approximately $1.5 million. For both the three and six month periods ended June 30, 2017, additions to acquisition-related contingent consideration from new business combinations totaled approximately $25.0 million. For the three month period ended June 30, 2018, measurement period adjustments for acquisition-related contingent consideration totaled a reduction of approximately $0.7 million, and for the six month period ended June 30, 2018, totaled a net increase of approximately $2.0 million, and related to businesses in the Company’s Oil and Gas and Power Generation and Industrial segments. Fair value adjustments for acquisition-related contingent consideration, including those related to finalization of completed earn-out arrangements, totaled net increases of approximately $4.4 million for both the three and six month periods ended June 30, 2018, primarily for businesses in the Company’s Communications and Oil and Gas segments, and a net decrease of approximately $8.6 million for both the three and six month periods ended June 30, 2017 for a business in the Company’s Communications segment. Payments of acquisition-related contingent consideration totaled $23.1 million for both the three and six month periods ended June 30, 2018, and totaled $18.8 million for both the three and six month periods ended June 30, 2017.</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equity investments as of June 30, 2018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 See Note 15 - Related Party Transactions for additional information related to certain of the Company’s equity investments.</w:t>
      </w:r>
    </w:p>
    <w:p>
      <w:pPr>
        <w:spacing w:after="0" w:line="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The fair values of the Company’s equity investments are not readily determinable. The Company’s equity investments, other than those that are proportionately consolidated, or those accounted for as equity method investments or under the fair value option, are measured at cost, adjusted for changes from observable market transactions, less impairment (“adjusted cost basis”). Realized and unrealized fair market value gains or losses related to the Company’s equity investments are recognized in other income or expense. Fair value measurements for the Company’s equity investments are classified within Level 3 in the fair value hierarchy based on the nature of the fair value inputs. For the six month period ended June 30, 2018, the Company was not aware of any material observable market transactions related to, or impairments of, its equity investments measured on an adjusted cost basis. The aggregate carrying value of the Company’s equity investments as of June 30, 2018 and December 31, 2017 totaled approximately $190 million and $141 million, respectively, including approximately $18 million of equity investments measured on an adjusted cost basis for both periods.</w:t>
      </w:r>
    </w:p>
    <w:p>
      <w:pPr>
        <w:spacing w:after="0" w:line="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The Waha JVs</w:t>
      </w:r>
      <w:r>
        <w:rPr>
          <w:rFonts w:ascii="Arial" w:cs="Arial" w:eastAsia="Arial" w:hAnsi="Arial"/>
          <w:sz w:val="16"/>
          <w:szCs w:val="16"/>
          <w:color w:val="auto"/>
        </w:rPr>
        <w:t>. The Waha JVs own and operate two pipelines and a header system that transport natural gas to the Mexican border for export, for which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commenced in 2017. For the three month periods ended June 30, 2018 and 2017, the Company made equity contributions to these joint ventures of approximately $9.7 million and $19.9 million, respectively, and for the six month periods ended June 30, 2018 and 2017, made equity contributions totaling $24.5 million and $73.3 million, respectively. The Company previously issued letters of credit in connection with its equity commitments in the Waha JVs. As of June 30, 2018, there were no letters of credit remaining, and as of December 31, 2017, $19 million in letters of credit were outstanding.</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Equity in earnings related to the Company’s proportionate share of income from the Waha JVs, which is included within the Company’s Other segment, totaled approximately $5.8 million and $6.1 million for the three month periods ended June 30, 2018 and 2017, respectively, and totaled $11.4 million and $7.7 million for the six month periods ended June 30, 2018 and 2017, respectively. Cumulative undistributed earnings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43"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5"/>
          <w:szCs w:val="15"/>
          <w:color w:val="auto"/>
        </w:rPr>
        <w:t>from the Waha JVs totaled $20.6 million as of June 30, 2018. For the three and six month periods ended June 30, 2018, the Company received $2.0 million and $7.7 million, respectively, in distributions of earnings from the Waha JVs, which amounts are included within operating cash flows. The Company’s net investment in the Waha JVs, which differs from its proportionate share of the net assets of the Waha JVs, due primarily to capitalized investment costs, totaled approximately $160 million and $121 million as of June 30, 2018 and December 31, 2017, respectively. Certain subsidiaries of MasTec have provided pipeline construction services to the Waha JVs. Revenue recognized in connection with work performed for the Waha JVs, including intercompany eliminations, totaled $100.2 million and $251.6 million for the three and six month periods ended June 30, 2017, respectively, and for the three and six month periods ended June 30, 2018, was de minimis. As of June 30, 2018 and December 31, 2017, related receivables, net of billings in excess of costs and earnings, totaled $0.2 million and $2.8 million, respectively.</w:t>
      </w:r>
    </w:p>
    <w:p>
      <w:pPr>
        <w:spacing w:after="0" w:line="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TPP and CTP are party to separate non-recourse financing facilities, each of which are secured by pledges of the equity interests in the respective entities, as well as a first lien security interest over virtually all of TPP’s and CTP’s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six month periods ended June 30, 2018, the Company’s proportionate share of unrecognized unrealized activity on these interest rate swaps was a gain of approximately $3.9 million and $14.0 million, respectively, or $2.9 million and $10.7 million, net of tax, respectively. For the three and six month periods ended June 30, 2017, the Company’s proportionate share of unrecognized unrealized activity on these interest rate swaps was a loss of approximately $4.4 million and $3.4 million, respectively, or $2.7 million and $2.1 million, net of tax, respectively.</w:t>
      </w:r>
    </w:p>
    <w:p>
      <w:pPr>
        <w:spacing w:after="0" w:line="73" w:lineRule="exact"/>
        <w:rPr>
          <w:sz w:val="20"/>
          <w:szCs w:val="20"/>
          <w:color w:val="auto"/>
        </w:rPr>
      </w:pPr>
    </w:p>
    <w:p>
      <w:pPr>
        <w:jc w:val="both"/>
        <w:ind w:firstLine="729"/>
        <w:spacing w:after="0" w:line="290" w:lineRule="auto"/>
        <w:rPr>
          <w:sz w:val="20"/>
          <w:szCs w:val="20"/>
          <w:color w:val="auto"/>
        </w:rPr>
      </w:pPr>
      <w:r>
        <w:rPr>
          <w:rFonts w:ascii="Arial" w:cs="Arial" w:eastAsia="Arial" w:hAnsi="Arial"/>
          <w:sz w:val="14"/>
          <w:szCs w:val="14"/>
          <w:i w:val="1"/>
          <w:iCs w:val="1"/>
          <w:color w:val="auto"/>
        </w:rPr>
        <w:t xml:space="preserve">Other Investments. </w:t>
      </w:r>
      <w:r>
        <w:rPr>
          <w:rFonts w:ascii="Arial" w:cs="Arial" w:eastAsia="Arial" w:hAnsi="Arial"/>
          <w:sz w:val="14"/>
          <w:szCs w:val="14"/>
          <w:color w:val="auto"/>
        </w:rPr>
        <w:t>During the third quarter of 2017, the Company paid $2.0 million for approximately 4% of the common stock of Pensare and warrants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2.0 million shares of Pensare common stock, which is a special purpose acquisition company focusing on transactions in the telecommunications industry. The shares of common stock purchased by MasTec are not transferable or salable until one year after Pensare successfully completes a business combination transaction, with limited exceptions, as specified in the agreement. The warrants purchased by MasTec are exercisable at a purchase price of $11.50 per share after Pensare successfully completes a business combination. Both the warrants and shares expire and/or are effectively forfeitable if Pensare does not successfully complete a business combination by February 1, 2019. The warrants, which are derivative financial instruments, and the shares, which are measured on an adjusted cost basis, are included within other long-term assets in the Company’s consolidated financial statements as of June 30, 2018. The warrants approximated their initial cost basis as of June 30, 2018, as determined based on Level 3 inputs. Due to the nature of the restrictions, the fair value of the shares is not readily determinable, and there were no observable price changes for similar investments during either of the three or six month periods ended June 30, 2018. José R. Mas, MasTec’s Chief Executive Officer, is a director of Pensare.</w:t>
      </w:r>
    </w:p>
    <w:p>
      <w:pPr>
        <w:spacing w:after="0" w:line="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During the second quarter of 2018, the Company invested $10.0 million for a 38.5% interest in LifeShield, LLC (“LifeShield”), a home security company, which is measured under the fair value option. Management believes that the fair value option provides a more accurate reflection of the economic performance of LifeShield and the value of the Company’s equity interest in the business. As of June 30, 2018, the fair value of this investment approximated its purchase price.</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connection with the 2014 acquisition of Pacer Construction Holdings Corporation and its affiliated operating companies (collectively, “Pacer”), the Company acquired an investment, for which the Company now has minimal involvement, that is in the final stages of being liquidated and is being managed by a receiver. The Company regularly reviews this investment for potential changes in expected recovery estimates, and during the second quarter of 2018, recorded $0.9 million of expense related to changes in expected recovery estimates, and during the second quarter of 2017, recorded $5.8 million of expense. The Company received $5.4 million of proceeds from the receiver in the first quarter of 2018, and received $12.1 million of proceeds in the first quarter of 2017. The net carrying value of this asset, which is included within other current assets, totaled $3.0 million and $9.6 million as of June 30, 2018 and December 31, 2017,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As of both June 30, 2018 and December 31, 2017, the gross carrying amount of the Company’s 4.875% senior notes due March 15, 2023 (the “4.875% Senior Notes”), which are measured at fair value on a non-recurring basis, totaled $400 million. As of June 30, 2018 and December 31, 2017, the estimated fair value of the 4.875% Senior Notes, based on Level 1 inputs, totaled $392.0 million and $410.0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accounts receivable, net of allowance and contract assets (together, “accounts receivable, net”)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allowance for doubtful accounts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 net of allowance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599.2</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Retainage and costs and earnings in excess of billings (together, “contract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1,525.4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1,598.0</w:t>
            </w:r>
          </w:p>
        </w:tc>
      </w:tr>
      <w:tr>
        <w:trPr>
          <w:trHeight w:val="20"/>
        </w:trPr>
        <w:tc>
          <w:tcPr>
            <w:tcW w:w="8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Contract billings represent the amount of performance obligations that have been billed but not yet collected. Contract assets consist of costs and earnings in excess of billings (“CIEB”) and retainage. CIEB, which is also referred to as work in process, represents the estimated value of unbilled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43" w:right="239" w:bottom="1440" w:gutter="0" w:footer="0" w:header="0"/>
        </w:sectPr>
      </w:pPr>
    </w:p>
    <w:bookmarkStart w:id="14" w:name="page15"/>
    <w:bookmarkEnd w:id="14"/>
    <w:p>
      <w:pPr>
        <w:jc w:val="both"/>
        <w:spacing w:after="0" w:line="278" w:lineRule="auto"/>
        <w:rPr>
          <w:sz w:val="20"/>
          <w:szCs w:val="20"/>
          <w:color w:val="auto"/>
        </w:rPr>
      </w:pPr>
      <w:r>
        <w:rPr>
          <w:rFonts w:ascii="Arial" w:cs="Arial" w:eastAsia="Arial" w:hAnsi="Arial"/>
          <w:sz w:val="15"/>
          <w:szCs w:val="15"/>
          <w:color w:val="auto"/>
        </w:rPr>
        <w:t>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 are generally classified as current assets within the Company’s consolidated balance sheets. Impairment losses on contract assets were not material for the three and six month periods ended June 30, 2018.</w:t>
      </w:r>
    </w:p>
    <w:p>
      <w:pPr>
        <w:spacing w:after="0" w:line="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Under certain contracts, the Company may be entitled to invoice the customer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are generally classified within current liabilities on the Company’s consolidated balance sheets. BIEC totaled approximately $243.2 million and $194.5 million as of June 30, 2018 and December 31, 2017, respectively. For the three and six month periods ended June 30, 2018, the Company recognized revenue of approximately $15.0 million and $99.8 million, respectively, related to amounts that were included in BIEC as of December 31, 2017, resulting primarily from the advancement of physical progress on the respective projects during the period. Contract liabilities also include the amount of any accrued project losses, which are classified within other current liabilities on the Company’s consolidated balance sheets. Total contract liabilities, including accrued project losses, totaled approximately $251.1 million and $206.1 million as of June 30, 2018 and December 31, 2017, respectively.</w:t>
      </w:r>
    </w:p>
    <w:p>
      <w:pPr>
        <w:spacing w:after="0" w:line="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Provisions for doubtful accounts for each of the three month periods ended June 30, 2018 and 2017 totaled $0.5 million and $0.2 million, respectively, and for the six month periods ended June 30, 2018 and 2017, totaled $1.4 million and $0.7 million, respectively. Retainage, which has been billed, but is not due until completion of performance and acceptance by customers, is expected to be collected within one year. Accounts receivable expected to be collected beyond one year are recorded within other long-term assets. The increase in the CIEB balance for the six month period ended June 30, 2018 was driven largely by long-haul project activity and timing of billings within the Company’s Oil and Gas segment.</w:t>
      </w:r>
    </w:p>
    <w:p>
      <w:pPr>
        <w:spacing w:after="0" w:line="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$3.1 million and $1.7 million for the three month periods ended June 30, 2018 and 2017, respectively, and totaled approximately $5.0 million and $2.6 million for the six month periods ended June 30, 2018 and 2017,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capital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149.9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1,536.0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1,455.6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739.4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706.5</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$115.8 million and $109.9 million as of June 30, 2018 and December 31, 2017, respectively. Capitalized internal-use software, net of accumulated amortization, totaled $25.0 million and $23.5 million as of June 30, 2018 and December 31, 2017, respectively. Depreciation and amortization expense associated with property and equipment for the three month periods ended June 30, 2018 and 2017 totaled $46.3 million and $40.5 million, respectively, and totaled $91.3 million and $79.2 million for the six month periods ended June 30, 2018 and 2017,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4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Note 7 – Debt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05"/>
        </w:trPr>
        <w:tc>
          <w:tcPr>
            <w:tcW w:w="9020" w:type="dxa"/>
            <w:vAlign w:val="bottom"/>
            <w:gridSpan w:val="5"/>
          </w:tcPr>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24"/>
                <w:szCs w:val="24"/>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December 31,</w:t>
            </w:r>
          </w:p>
        </w:tc>
      </w:tr>
      <w:tr>
        <w:trPr>
          <w:trHeight w:val="210"/>
        </w:trPr>
        <w:tc>
          <w:tcPr>
            <w:tcW w:w="51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Description</w:t>
            </w:r>
          </w:p>
        </w:tc>
        <w:tc>
          <w:tcPr>
            <w:tcW w:w="386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February 22, 2022</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860" w:type="dxa"/>
            <w:vAlign w:val="bottom"/>
            <w:gridSpan w:val="3"/>
          </w:tcPr>
          <w:p>
            <w:pPr>
              <w:ind w:left="36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377.7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396.9</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86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 weighted average interest rate of 3.8%</w:t>
            </w:r>
          </w:p>
        </w:tc>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 installments through May 1, 2023</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Other debt obligations</w:t>
            </w:r>
          </w:p>
        </w:tc>
        <w:tc>
          <w:tcPr>
            <w:tcW w:w="3860" w:type="dxa"/>
            <w:vAlign w:val="bottom"/>
            <w:gridSpan w:val="3"/>
          </w:tcPr>
          <w:p>
            <w:pPr>
              <w:ind w:left="20"/>
              <w:spacing w:after="0"/>
              <w:rPr>
                <w:sz w:val="20"/>
                <w:szCs w:val="20"/>
                <w:color w:val="auto"/>
              </w:rPr>
            </w:pPr>
            <w:r>
              <w:rPr>
                <w:rFonts w:ascii="Arial" w:cs="Arial" w:eastAsia="Arial" w:hAnsi="Arial"/>
                <w:sz w:val="16"/>
                <w:szCs w:val="16"/>
                <w:color w:val="auto"/>
              </w:rPr>
              <w:t>Varies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25.8</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long-term debt obligations</w:t>
            </w:r>
          </w:p>
        </w:tc>
        <w:tc>
          <w:tcPr>
            <w:tcW w:w="3860" w:type="dxa"/>
            <w:vAlign w:val="bottom"/>
            <w:tcBorders>
              <w:bottom w:val="single" w:sz="8" w:color="CCEEFF"/>
            </w:tcBorders>
            <w:gridSpan w:val="3"/>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1,381.6</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860" w:type="dxa"/>
            <w:vAlign w:val="bottom"/>
            <w:tcBorders>
              <w:bottom w:val="single" w:sz="8" w:color="CCEEFF"/>
            </w:tcBorders>
            <w:gridSpan w:val="3"/>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1,368.6</w:t>
            </w: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Current portion of long-term debt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debt</w:t>
            </w:r>
          </w:p>
        </w:tc>
        <w:tc>
          <w:tcPr>
            <w:tcW w:w="36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has a senior secured credit facility (the “Credit Facility”). Under the Credit Facility, aggregate borrowing commitments totaled approximately $1.5 billion as of June 30, 2018, composed of $1.1 billion of revolving commitments and a term loan of approximately $0.4 billion. The term loan is subject to amortization in quarterly principal installments. An initial installment of $3.1 million was paid in December 2017, and quarterly installments of $5.0 million commenced in the first quarter of 2018. Quarterly principal installments on the term loan are subject to adjustment, if applicable, for certain prepayments.</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June 30, 2018 and December 31, 2017, outstanding revolving loans, which included $106 million and $117 million, respectively, of borrowings denominated in foreign currencies, accrued interest at weighted average rates of approximately 3.91% and 3.69% per annum, respectively. The term loan accrued interest at a rate of 3.72% and 3.07% as of June 30, 2018 and December 31, 2017, respectively. Letters of credit of approximately $124.7 million and $157.1 million were issued as of June 30, 2018 and December 31, 2017, respectively. As of June 30, 2018 and December 31, 2017, letters of credit fees accrued at 0.750% and 0.625% per annum, respectively, for performance standby letters of credit, and at 1.625% and 1.50% per annum, respectively, for financial standby letters of credit. Outstanding letters of credit mature at various dates and most have automatic renewal provisions, subject to prior notice of cancellation. As of June 30, 2018 and December 31, 2017, availability for revolving loans totaled $327.2 million and $565.2 million, respectively, or up to $327.2 million and $492.9 million, respectively, for new letters of credit. Revolving loan borrowing capacity included $194.4 million and $183.4 million of availability in either Canadian dollars or Mexican pesos as of June 30, 2018 and December 31, 2017, respectively. The unused facility fee as of June 30, 2018 and December 31, 2017 accrued at a rate of 0.30% and 0.25%, respectively.</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Other Credit Facilities</w:t>
      </w:r>
      <w:r>
        <w:rPr>
          <w:rFonts w:ascii="Arial" w:cs="Arial" w:eastAsia="Arial" w:hAnsi="Arial"/>
          <w:sz w:val="15"/>
          <w:szCs w:val="15"/>
          <w:color w:val="auto"/>
        </w:rPr>
        <w:t>. The Company has other credit facilities that support the working capital requirements of its foreign operations. Borrowings under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credit facilities, which have varying dates of maturity and are generally renewed on an annual basis, are denominated in Canadian dollars. As of both June 30, 2018 and December 31, 2017, maximum borrowing capacity totaled Canadian $20.0 million, or approximately $15.2 million and $15.9 million, respectively. As of June 30, 2018 and December 31, 2017, outstanding borrowings totaled approximately $9.2 million and $10.4 million, respectively, and accrued interest at a weighted average rate of approximately 4.2% and 4.0%, respectively. Outstanding borrowings that are not renewed are repaid with borrowings under the Credit Facility. Accordingly, the carrying amounts of the Company’s borrowings under its other credit facilities, which are included within other debt obligations in the table above, are classified within long-term debt in the Company’s consolidated balance sheets. The Company’s other credit facilities are subject to customary provisions and covenants.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Unaudited Consolidating Financial Information.</w:t>
      </w:r>
    </w:p>
    <w:p>
      <w:pPr>
        <w:spacing w:after="0" w:line="79" w:lineRule="exact"/>
        <w:rPr>
          <w:sz w:val="20"/>
          <w:szCs w:val="20"/>
          <w:color w:val="auto"/>
        </w:rPr>
      </w:pPr>
    </w:p>
    <w:p>
      <w:pPr>
        <w:ind w:left="340" w:right="1560" w:firstLine="324"/>
        <w:spacing w:after="0" w:line="387" w:lineRule="auto"/>
        <w:rPr>
          <w:sz w:val="20"/>
          <w:szCs w:val="20"/>
          <w:color w:val="auto"/>
        </w:rPr>
      </w:pPr>
      <w:r>
        <w:rPr>
          <w:rFonts w:ascii="Arial" w:cs="Arial" w:eastAsia="Arial" w:hAnsi="Arial"/>
          <w:sz w:val="16"/>
          <w:szCs w:val="16"/>
          <w:color w:val="auto"/>
        </w:rPr>
        <w:t xml:space="preserve">MasTec was in compliance with the provisions and covenants of its outstanding debt instruments as of June 30, 2018 and December 31, 2017. </w:t>
      </w:r>
      <w:r>
        <w:rPr>
          <w:rFonts w:ascii="Arial" w:cs="Arial" w:eastAsia="Arial" w:hAnsi="Arial"/>
          <w:sz w:val="16"/>
          <w:szCs w:val="16"/>
          <w:b w:val="1"/>
          <w:bCs w:val="1"/>
          <w:i w:val="1"/>
          <w:iCs w:val="1"/>
          <w:color w:val="auto"/>
        </w:rPr>
        <w:t>Additional Information</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2018 and December 31, 2017, accrued interest payable, which is recorded within other accrued expenses in the consolidated balance sheets, totaled $8.2 million and $7.4 million, respectively. For additional information pertaining to the Company’s debt instruments, including its 4.875% Senior Notes, see Note 7 - Debt in the Company’s 2017 Form 10-K.</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80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Capital Leases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enters into agreements that provide lease financing for machinery and equipment. The gross amount of assets held under capital leases as of June 30, 2018 and December 31, 2017, which are included within property and equipment, net, totaled $432.4 million and $418.0 million, respectively. Assets held under capital leases, net of accumulated depreciation, totaled $287.4 million and $277.3 million as of June 30, 2018 and December 31, 2017,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the ordinary course of business, the Company enters into non-cancelable operating leases for certain of its facility, vehicle and equipment needs, including related party leases. See Note 15 - Related Party Transactions. Rent and related expense for operating leases that have non-cancelable terms in excess of one year totaled approximately $25.3 million and $26.6 million for the three month periods ended June 30, 2018 and 2017, respectively, and totaled $52.2 million for both the six month periods ended June 30, 2018 and 2017. The Company also incurred rent and related expense for facilities, vehicles and equipment having original terms of one year or less totaling approximately $104.9 million and $133.3 million for the three month periods ended June 30, 2018 and 2017, respectively, and totaling $196.6 million and $188.4 million for the six month periods ended June 30, 2018 and 2017,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stock-based compensation plans, under which shares of the Company’s common stock are reserved for issuance. Under all stock-based compensation plans in effect as of June 30, 2018, including employee stock purchase plans, there were approximately 4,675,000 shares available for future grant.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employees and directors,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June 30, 2018 was approximately $19.7 million, which is expected to be recognized over a weighted average period of approximately 2.0 years. The intrinsic value of restricted shares that vested, which is based on the market price on the date of vesting, totaled $1.6 million and $0.2 million for the three month periods ended June 30, 2018 and 2017, respectively, and totaled $1.7 million and $11.7 million for the six month periods ended June 30, 2018 and 2017,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Average Grant Date</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color w:val="auto"/>
                <w:vertAlign w:val="superscript"/>
              </w:rPr>
              <w:t>(a)</w:t>
            </w: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2017</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116,822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50.67</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(29,054)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20.65</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June 30,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1,499,882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25.51</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Includes 19,300 and 27,550 restricted stock units as of June 30, 2018 </w:t>
      </w:r>
      <w:r>
        <w:rPr>
          <w:rFonts w:ascii="Arial" w:cs="Arial" w:eastAsia="Arial" w:hAnsi="Arial"/>
          <w:sz w:val="16"/>
          <w:szCs w:val="16"/>
          <w:color w:val="auto"/>
        </w:rPr>
        <w:t>and</w:t>
      </w:r>
      <w:r>
        <w:rPr>
          <w:rFonts w:ascii="Arial" w:cs="Arial" w:eastAsia="Arial" w:hAnsi="Arial"/>
          <w:sz w:val="14"/>
          <w:szCs w:val="14"/>
          <w:color w:val="auto"/>
        </w:rPr>
        <w:t xml:space="preserve"> December 31, 2017, respectively.</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8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400" w:type="dxa"/>
            <w:vAlign w:val="bottom"/>
          </w:tcPr>
          <w:p>
            <w:pPr>
              <w:spacing w:after="0"/>
              <w:rPr>
                <w:sz w:val="20"/>
                <w:szCs w:val="20"/>
                <w:color w:val="auto"/>
              </w:rPr>
            </w:pPr>
          </w:p>
        </w:tc>
        <w:tc>
          <w:tcPr>
            <w:tcW w:w="4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486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3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55,138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49,502</w:t>
            </w:r>
          </w:p>
        </w:tc>
      </w:tr>
      <w:tr>
        <w:trPr>
          <w:trHeight w:val="33"/>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486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486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8.67</w:t>
            </w:r>
          </w:p>
        </w:tc>
      </w:tr>
      <w:tr>
        <w:trPr>
          <w:trHeight w:val="473"/>
        </w:trPr>
        <w:tc>
          <w:tcPr>
            <w:tcW w:w="4400" w:type="dxa"/>
            <w:vAlign w:val="bottom"/>
          </w:tcPr>
          <w:p>
            <w:pPr>
              <w:spacing w:after="0"/>
              <w:rPr>
                <w:sz w:val="24"/>
                <w:szCs w:val="24"/>
                <w:color w:val="auto"/>
              </w:rPr>
            </w:pPr>
          </w:p>
        </w:tc>
        <w:tc>
          <w:tcPr>
            <w:tcW w:w="3940" w:type="dxa"/>
            <w:vAlign w:val="bottom"/>
          </w:tcPr>
          <w:p>
            <w:pPr>
              <w:jc w:val="right"/>
              <w:ind w:right="2459"/>
              <w:spacing w:after="0"/>
              <w:rPr>
                <w:sz w:val="20"/>
                <w:szCs w:val="20"/>
                <w:color w:val="auto"/>
              </w:rPr>
            </w:pPr>
            <w:r>
              <w:rPr>
                <w:rFonts w:ascii="Arial" w:cs="Arial" w:eastAsia="Arial" w:hAnsi="Arial"/>
                <w:sz w:val="16"/>
                <w:szCs w:val="16"/>
                <w:color w:val="auto"/>
              </w:rPr>
              <w:t>17</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Non-Cash Stock-Based Compensation Expense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9280" w:type="dxa"/>
            <w:vAlign w:val="bottom"/>
            <w:gridSpan w:val="7"/>
          </w:tcPr>
          <w:p>
            <w:pPr>
              <w:ind w:left="660"/>
              <w:spacing w:after="0"/>
              <w:rPr>
                <w:sz w:val="20"/>
                <w:szCs w:val="20"/>
                <w:color w:val="auto"/>
              </w:rPr>
            </w:pPr>
            <w:r>
              <w:rPr>
                <w:rFonts w:ascii="Arial" w:cs="Arial" w:eastAsia="Arial" w:hAnsi="Arial"/>
                <w:sz w:val="16"/>
                <w:szCs w:val="16"/>
                <w:color w:val="auto"/>
                <w:w w:val="91"/>
              </w:rPr>
              <w:t>Details of non-cash stock-based compensation expense and related tax effects for the periods indicated were as follows (in millions):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7"/>
        </w:trPr>
        <w:tc>
          <w:tcPr>
            <w:tcW w:w="6980" w:type="dxa"/>
            <w:vAlign w:val="bottom"/>
          </w:tcPr>
          <w:p>
            <w:pPr>
              <w:spacing w:after="0"/>
              <w:rPr>
                <w:sz w:val="24"/>
                <w:szCs w:val="24"/>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24"/>
                <w:szCs w:val="24"/>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stock-based compensation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6"/>
        </w:trPr>
        <w:tc>
          <w:tcPr>
            <w:tcW w:w="6980" w:type="dxa"/>
            <w:vAlign w:val="bottom"/>
          </w:tcPr>
          <w:p>
            <w:pPr>
              <w:ind w:left="40"/>
              <w:spacing w:after="0"/>
              <w:rPr>
                <w:sz w:val="20"/>
                <w:szCs w:val="20"/>
                <w:color w:val="auto"/>
              </w:rPr>
            </w:pPr>
            <w:r>
              <w:rPr>
                <w:rFonts w:ascii="Arial" w:cs="Arial" w:eastAsia="Arial" w:hAnsi="Arial"/>
                <w:sz w:val="15"/>
                <w:szCs w:val="15"/>
                <w:b w:val="1"/>
                <w:bCs w:val="1"/>
                <w:color w:val="auto"/>
              </w:rPr>
              <w:t>Income Tax Effects: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effect of non-cash stock-based compensation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311"/>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Excess tax benefit from non-cash stock-based compensation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0.1</w:t>
            </w:r>
          </w:p>
        </w:tc>
      </w:tr>
    </w:tbl>
    <w:p>
      <w:pPr>
        <w:jc w:val="both"/>
        <w:ind w:left="420" w:hanging="412"/>
        <w:spacing w:after="0" w:line="252"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Excess tax benefits represent cash flows from tax deductions in excess of the tax effect of compensation expense associated with share-based payment arrangements. For the six month period ended June 30, 2018, tax benefits, net of tax deficiencies, related to the vesting of share-based payment awards were $0.2 million, and for the six month period ended June 30, 2017, the Company recognized a tax deficiency, net of tax benefits, of $0.1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Multiemployer Plans. </w:t>
      </w:r>
      <w:r>
        <w:rPr>
          <w:rFonts w:ascii="Arial" w:cs="Arial" w:eastAsia="Arial" w:hAnsi="Arial"/>
          <w:sz w:val="15"/>
          <w:szCs w:val="15"/>
          <w:color w:val="auto"/>
        </w:rPr>
        <w:t>Certain of MasTec’s subsidiaries, including certain subsidiaries in Canada, contribute amounts to multiemployer pension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any given time, and the plans in which they participate, vary depending upon the location and number of ongoing projects at a given time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Arial" w:cs="Arial" w:eastAsia="Arial" w:hAnsi="Arial"/>
                <w:sz w:val="16"/>
                <w:szCs w:val="16"/>
                <w:b w:val="1"/>
                <w:bCs w:val="1"/>
                <w:color w:val="auto"/>
                <w:w w:val="92"/>
              </w:rPr>
              <w:t xml:space="preserve">Contributions </w:t>
            </w:r>
            <w:r>
              <w:rPr>
                <w:rFonts w:ascii="Arial" w:cs="Arial" w:eastAsia="Arial" w:hAnsi="Arial"/>
                <w:sz w:val="15"/>
                <w:szCs w:val="15"/>
                <w:b w:val="1"/>
                <w:bCs w:val="1"/>
                <w:color w:val="auto"/>
                <w:w w:val="92"/>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June 30:</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3,669</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Six Months Ended June 30:</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within its oil and gas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97"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During the three and six month periods ended June 30, 2018, the Company repurchased approximately 0.7 million and 2.7 million shares of its common stock, respectively, for an aggregate purchase price of $29.9 million and $128.3 million, respectively. Of the total repurchased shares, 2.0 million were repurchased in the first quarter of 2018 for $98.4 million under a now completed share repurchase program that was established in 2016. The remaining 0.7 million shares were repurchased in the second quarter of 2018 under a new $100 million share repurchase program that was authorized by the Company’s Board of Directors in March 2018 (the “2018 Share Repurchase Program”), under which approximately $70 million is available as of June 30, 2018 for future share repurchases.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2018 Share Repurchase Program, which does not have an expiration date, the Company may repurchase shares of its common stock from time to time in open market transactions or in privately-negotiated transactions in accordance with applicable securities laws. The timing and the amount of any repurchases will be determined based on market conditions, legal requirements, cash flow and liquidity needs and other factors. The share repurchase program may be modified or suspended at any time at the Company’s discretion. Share repurchases, which are recorded at cost and are held in the Company’s treasury, are funded with available cash or with availability under the Credit Facility.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Accumulated other comprehensive loss is composed of unrealized foreign currency gains and losses from fluctuations in foreign currency exchange rates of the Company’s foreign subsidiaries with a functional currency other than the U.S. dollar, as well as unrealized gains and losses from certain investment activities. Unrealized foreign currency activity for each of the three and six month periods ended June 30, 2018 and 2017 is primarily related to translation gains and losses resulting from the Company’s Canadian operations, and unrealized investment activity for each of the three and six month periods ended June 30, 2018 and 2017 relates to unrealized gains and losses on interest rate swaps associated with the Waha JVs.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 xml:space="preserve">In December 2017, the Tax Cuts and Jobs Act of 2017 (the “2017 Tax Act”) was enacted, which included broad tax reform that is applicable to the Company. Under the provisions of the 2017 Tax Act, the U.S. corporate tax rate decreased from 35% to 21% effective January 1, 2018. The Company completed an initial remeasurement of its U.S. deferred tax assets and liabilities as of December 31, 2017 as a result of this new tax law and recognized a non-cash tax benefit of $120.1 million in the fourth quarter of 2017. This initial remeasurement contained estimates of the effect of the 2017 Tax Act, as permitted under Staff Accounting Bulletin (“SAB”) 118, and may be affected by future guidance, finalization of its tax returns for the year ended December 31, 2017, and/or as a result of newly obtained information pertaining to its deferred tax balances as of December 31, 2017. In March 2018, the FASB issued ASU 2018-05, </w:t>
      </w:r>
      <w:r>
        <w:rPr>
          <w:rFonts w:ascii="Arial" w:cs="Arial" w:eastAsia="Arial" w:hAnsi="Arial"/>
          <w:sz w:val="15"/>
          <w:szCs w:val="15"/>
          <w:i w:val="1"/>
          <w:iCs w:val="1"/>
          <w:color w:val="auto"/>
        </w:rPr>
        <w:t>Income Taxes (Topic 740): Amendments to SEC Paragraphs Pursuant to SEC Staff Accounting Bulletin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118 </w:t>
      </w:r>
      <w:r>
        <w:rPr>
          <w:rFonts w:ascii="Arial" w:cs="Arial" w:eastAsia="Arial" w:hAnsi="Arial"/>
          <w:sz w:val="15"/>
          <w:szCs w:val="15"/>
          <w:color w:val="auto"/>
        </w:rPr>
        <w:t>(“ASU 2018-05”), which amended Topic 740 to incorporate the requirements of SAB 118. Any revisions to the initial remeasurement of the Company’s deferred tax</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and liabilities as of December 31, 2017 for the effects of the 2017 Tax Act will be treated in accordance with the measurement period guidance as outlined in Topic 740 and SAB 118. In the second quarter of 2018, the Company recognized tax expense of approximately $1.5 million related to an adjustment to the initial remeasurement of its deferred tax liabilities as a result of the 2017 Tax Act.</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heavy civil and industrial infrastructure. The Other segment includes equity investees, the services of which vary from those provided by the Company’s four primary segments, as well as other small business units that perform construction and other services for a variety of international end-markets.</w:t>
      </w:r>
    </w:p>
    <w:p>
      <w:pPr>
        <w:spacing w:after="0" w:line="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39" w:right="239" w:bottom="1440" w:gutter="0" w:footer="0" w:header="0"/>
        </w:sectPr>
      </w:pPr>
    </w:p>
    <w:bookmarkStart w:id="19" w:name="page20"/>
    <w:bookmarkEnd w:id="19"/>
    <w:p>
      <w:pPr>
        <w:jc w:val="both"/>
        <w:ind w:right="20"/>
        <w:spacing w:after="0" w:line="275" w:lineRule="auto"/>
        <w:rPr>
          <w:sz w:val="20"/>
          <w:szCs w:val="20"/>
          <w:color w:val="auto"/>
        </w:rPr>
      </w:pPr>
      <w:r>
        <w:rPr>
          <w:rFonts w:ascii="Arial" w:cs="Arial" w:eastAsia="Arial" w:hAnsi="Arial"/>
          <w:sz w:val="16"/>
          <w:szCs w:val="16"/>
          <w:color w:val="auto"/>
        </w:rPr>
        <w:t>changes in the market price per share of the Company’s common stock or variations in the value of shares granted. Segment EBITDA is calculated in a manner consistent with consolidated EBITDA.</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For the six month period ended June 30, 2018, Other segment EBITDA included project gains of $1.0 million from a proportionately consolidated non-controlled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Canadian joint venture, which is managed by a third party, and for which the Company has minimal direct construction involvement, whereas for the six month period ended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June 30, 2017, Other segment EBITDA included project losses from this non-controlled joint venture of $7.0 million.</w:t>
      </w:r>
    </w:p>
    <w:p>
      <w:pPr>
        <w:spacing w:after="0" w:line="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(in millions). The tables below may contain slight summation differences due to rounding.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618.6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1,151.7</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769.3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1,596.2</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107.3</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3,048.4</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13.6% and 11.5% of Communications segment revenue for the three month periods ended June 30, 2018 and 2017, respectively, and represented 15.7% and 12.4% for the six month periods ended June 30, 2018 and 2017,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247.9</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4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432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43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9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45.1</w:t>
            </w:r>
          </w:p>
        </w:tc>
      </w:tr>
      <w:tr>
        <w:trPr>
          <w:trHeight w:val="33"/>
        </w:trPr>
        <w:tc>
          <w:tcPr>
            <w:tcW w:w="4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4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43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29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r>
      <w:tr>
        <w:trPr>
          <w:trHeight w:val="622"/>
        </w:trPr>
        <w:tc>
          <w:tcPr>
            <w:tcW w:w="4320" w:type="dxa"/>
            <w:vAlign w:val="bottom"/>
          </w:tcPr>
          <w:p>
            <w:pPr>
              <w:spacing w:after="0"/>
              <w:rPr>
                <w:sz w:val="24"/>
                <w:szCs w:val="24"/>
                <w:color w:val="auto"/>
              </w:rPr>
            </w:pPr>
          </w:p>
        </w:tc>
        <w:tc>
          <w:tcPr>
            <w:tcW w:w="2660" w:type="dxa"/>
            <w:vAlign w:val="bottom"/>
          </w:tcPr>
          <w:p>
            <w:pPr>
              <w:jc w:val="right"/>
              <w:ind w:right="1099"/>
              <w:spacing w:after="0"/>
              <w:rPr>
                <w:sz w:val="20"/>
                <w:szCs w:val="20"/>
                <w:color w:val="auto"/>
              </w:rPr>
            </w:pPr>
            <w:r>
              <w:rPr>
                <w:rFonts w:ascii="Arial" w:cs="Arial" w:eastAsia="Arial" w:hAnsi="Arial"/>
                <w:sz w:val="16"/>
                <w:szCs w:val="16"/>
                <w:color w:val="auto"/>
              </w:rPr>
              <w:t>20</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643"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Plus: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88.3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Foreign Operations. </w:t>
      </w:r>
      <w:r>
        <w:rPr>
          <w:rFonts w:ascii="Arial" w:cs="Arial" w:eastAsia="Arial" w:hAnsi="Arial"/>
          <w:sz w:val="15"/>
          <w:szCs w:val="15"/>
          <w:color w:val="auto"/>
        </w:rPr>
        <w:t>MasTec operates in North America, primarily in the United States and Canada, and, to a lesser extent, in Mexico. For the three 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ended June 30, 2018 and 2017, revenue of $1.6 billion and $1.8 billion, respectively, was derived from U.S. operations, and revenue of $26.7 million and $40.5 million, respectively, was derived from foreign operations, the majority of which was from the Company’s Canadian operations in the Oil and Gas segment. For the six month periods ended June 30, 2018 and 2017, revenue of $3.0 billion and $2.9 billion, respectively, was derived from U.S. operations, and revenue of $60.5 million and $99.7 million, respectively, was derived from foreign operations, the majority of which was from the Company’s Canadian operations in the Oil and Gas segment. Long-lived assets held in the U.S. included property and equipment, net, of $698.6 million and $649.5 million as of June 30, 2018 and December 31, 2017, respectively, and, for the Company’s businesses in foreign countries, the majority of which are in Canada, totaled $40.8 million and $57.0 million, respectively. Intangible assets and goodwill, net, related to the Company’s U.S. operations totaled approximately $1.2 billion as of both June 30, 2018 and December 31, 2017, and for the Company’s businesses in foreign countries, the majority of which are in Canada, totaled approximately $107.0 million and $112.8 million as of June 30, 2018 and December 31, 2017, respectively. As of June 30, 2018 and December 31, 2017, amounts due from customers from which foreign revenue was derived accounted for approximately 3% and 5%, respectively, of the Company’s consolidated net accounts receivable position, which represents accounts receivable, net, less BIEC.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2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2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8"/>
                <w:szCs w:val="18"/>
                <w:color w:val="auto"/>
              </w:rPr>
            </w:pPr>
          </w:p>
        </w:tc>
        <w:tc>
          <w:tcPr>
            <w:tcW w:w="1420" w:type="dxa"/>
            <w:vAlign w:val="bottom"/>
            <w:gridSpan w:val="3"/>
          </w:tcPr>
          <w:p>
            <w:pPr>
              <w:jc w:val="center"/>
              <w:ind w:right="659"/>
              <w:spacing w:after="0"/>
              <w:rPr>
                <w:sz w:val="20"/>
                <w:szCs w:val="20"/>
                <w:color w:val="auto"/>
              </w:rPr>
            </w:pPr>
            <w:r>
              <w:rPr>
                <w:rFonts w:ascii="Arial" w:cs="Arial" w:eastAsia="Arial" w:hAnsi="Arial"/>
                <w:sz w:val="16"/>
                <w:szCs w:val="16"/>
                <w:b w:val="1"/>
                <w:bCs w:val="1"/>
                <w:color w:val="auto"/>
                <w:w w:val="87"/>
              </w:rPr>
              <w:t>June 30,</w:t>
            </w:r>
          </w:p>
        </w:tc>
      </w:tr>
      <w:tr>
        <w:trPr>
          <w:trHeight w:val="33"/>
        </w:trPr>
        <w:tc>
          <w:tcPr>
            <w:tcW w:w="69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74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2018</w:t>
            </w:r>
          </w:p>
        </w:tc>
        <w:tc>
          <w:tcPr>
            <w:tcW w:w="1440" w:type="dxa"/>
            <w:vAlign w:val="bottom"/>
            <w:gridSpan w:val="3"/>
          </w:tcPr>
          <w:p>
            <w:pPr>
              <w:jc w:val="center"/>
              <w:ind w:left="31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74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2018</w:t>
            </w:r>
          </w:p>
        </w:tc>
        <w:tc>
          <w:tcPr>
            <w:tcW w:w="142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9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7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3"/>
              </w:rPr>
              <w:t>25%</w:t>
            </w:r>
          </w:p>
        </w:tc>
        <w:tc>
          <w:tcPr>
            <w:tcW w:w="1440" w:type="dxa"/>
            <w:vAlign w:val="bottom"/>
            <w:gridSpan w:val="3"/>
            <w:shd w:val="clear" w:color="auto" w:fill="CCEEFF"/>
          </w:tcPr>
          <w:p>
            <w:pPr>
              <w:jc w:val="center"/>
              <w:ind w:left="299"/>
              <w:spacing w:after="0"/>
              <w:rPr>
                <w:sz w:val="20"/>
                <w:szCs w:val="20"/>
                <w:color w:val="auto"/>
              </w:rPr>
            </w:pPr>
            <w:r>
              <w:rPr>
                <w:rFonts w:ascii="Arial" w:cs="Arial" w:eastAsia="Arial" w:hAnsi="Arial"/>
                <w:sz w:val="16"/>
                <w:szCs w:val="16"/>
                <w:color w:val="auto"/>
                <w:w w:val="93"/>
              </w:rPr>
              <w:t>22%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3"/>
              </w:rPr>
              <w:t>26%</w:t>
            </w:r>
          </w:p>
        </w:tc>
        <w:tc>
          <w:tcPr>
            <w:tcW w:w="1420" w:type="dxa"/>
            <w:vAlign w:val="bottom"/>
            <w:gridSpan w:val="3"/>
            <w:shd w:val="clear" w:color="auto" w:fill="CCEEFF"/>
          </w:tcPr>
          <w:p>
            <w:pPr>
              <w:jc w:val="center"/>
              <w:ind w:left="319"/>
              <w:spacing w:after="0"/>
              <w:rPr>
                <w:sz w:val="20"/>
                <w:szCs w:val="20"/>
                <w:color w:val="auto"/>
              </w:rPr>
            </w:pPr>
            <w:r>
              <w:rPr>
                <w:rFonts w:ascii="Arial" w:cs="Arial" w:eastAsia="Arial" w:hAnsi="Arial"/>
                <w:sz w:val="16"/>
                <w:szCs w:val="16"/>
                <w:color w:val="auto"/>
                <w:w w:val="93"/>
              </w:rPr>
              <w:t>27%</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(b)</w:t>
            </w:r>
          </w:p>
        </w:tc>
        <w:tc>
          <w:tcPr>
            <w:tcW w:w="740" w:type="dxa"/>
            <w:vAlign w:val="bottom"/>
          </w:tcPr>
          <w:p>
            <w:pPr>
              <w:jc w:val="center"/>
              <w:ind w:left="199"/>
              <w:spacing w:after="0"/>
              <w:rPr>
                <w:sz w:val="20"/>
                <w:szCs w:val="20"/>
                <w:color w:val="auto"/>
              </w:rPr>
            </w:pPr>
            <w:r>
              <w:rPr>
                <w:rFonts w:ascii="Arial" w:cs="Arial" w:eastAsia="Arial" w:hAnsi="Arial"/>
                <w:sz w:val="16"/>
                <w:szCs w:val="16"/>
                <w:color w:val="auto"/>
                <w:w w:val="93"/>
              </w:rPr>
              <w:t>15%</w:t>
            </w:r>
          </w:p>
        </w:tc>
        <w:tc>
          <w:tcPr>
            <w:tcW w:w="1440" w:type="dxa"/>
            <w:vAlign w:val="bottom"/>
            <w:gridSpan w:val="3"/>
          </w:tcPr>
          <w:p>
            <w:pPr>
              <w:jc w:val="center"/>
              <w:ind w:left="299"/>
              <w:spacing w:after="0"/>
              <w:rPr>
                <w:sz w:val="20"/>
                <w:szCs w:val="20"/>
                <w:color w:val="auto"/>
              </w:rPr>
            </w:pPr>
            <w:r>
              <w:rPr>
                <w:rFonts w:ascii="Arial" w:cs="Arial" w:eastAsia="Arial" w:hAnsi="Arial"/>
                <w:sz w:val="16"/>
                <w:szCs w:val="16"/>
                <w:color w:val="auto"/>
                <w:w w:val="93"/>
              </w:rPr>
              <w:t>47%</w:t>
            </w:r>
          </w:p>
        </w:tc>
        <w:tc>
          <w:tcPr>
            <w:tcW w:w="100" w:type="dxa"/>
            <w:vAlign w:val="bottom"/>
          </w:tcPr>
          <w:p>
            <w:pPr>
              <w:spacing w:after="0"/>
              <w:rPr>
                <w:sz w:val="23"/>
                <w:szCs w:val="23"/>
                <w:color w:val="auto"/>
              </w:rPr>
            </w:pPr>
          </w:p>
        </w:tc>
        <w:tc>
          <w:tcPr>
            <w:tcW w:w="740" w:type="dxa"/>
            <w:vAlign w:val="bottom"/>
          </w:tcPr>
          <w:p>
            <w:pPr>
              <w:jc w:val="center"/>
              <w:ind w:left="199"/>
              <w:spacing w:after="0"/>
              <w:rPr>
                <w:sz w:val="20"/>
                <w:szCs w:val="20"/>
                <w:color w:val="auto"/>
              </w:rPr>
            </w:pPr>
            <w:r>
              <w:rPr>
                <w:rFonts w:ascii="Arial" w:cs="Arial" w:eastAsia="Arial" w:hAnsi="Arial"/>
                <w:sz w:val="16"/>
                <w:szCs w:val="16"/>
                <w:color w:val="auto"/>
                <w:w w:val="93"/>
              </w:rPr>
              <w:t>20%</w:t>
            </w:r>
          </w:p>
        </w:tc>
        <w:tc>
          <w:tcPr>
            <w:tcW w:w="1420" w:type="dxa"/>
            <w:vAlign w:val="bottom"/>
            <w:gridSpan w:val="3"/>
          </w:tcPr>
          <w:p>
            <w:pPr>
              <w:jc w:val="center"/>
              <w:ind w:left="319"/>
              <w:spacing w:after="0"/>
              <w:rPr>
                <w:sz w:val="20"/>
                <w:szCs w:val="20"/>
                <w:color w:val="auto"/>
              </w:rPr>
            </w:pPr>
            <w:r>
              <w:rPr>
                <w:rFonts w:ascii="Arial" w:cs="Arial" w:eastAsia="Arial" w:hAnsi="Arial"/>
                <w:sz w:val="16"/>
                <w:szCs w:val="16"/>
                <w:color w:val="auto"/>
                <w:w w:val="93"/>
              </w:rPr>
              <w:t>35%</w:t>
            </w: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EQT Corporation </w:t>
            </w:r>
            <w:r>
              <w:rPr>
                <w:rFonts w:ascii="Arial" w:cs="Arial" w:eastAsia="Arial" w:hAnsi="Arial"/>
                <w:sz w:val="21"/>
                <w:szCs w:val="21"/>
                <w:color w:val="auto"/>
                <w:vertAlign w:val="superscript"/>
              </w:rPr>
              <w:t>(c)</w:t>
            </w:r>
          </w:p>
        </w:tc>
        <w:tc>
          <w:tcPr>
            <w:tcW w:w="7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3"/>
              </w:rPr>
              <w:t>19%</w:t>
            </w: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3"/>
              </w:rPr>
              <w:t>11%</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bl>
    <w:p>
      <w:pPr>
        <w:spacing w:after="0" w:line="8" w:lineRule="exact"/>
        <w:rPr>
          <w:sz w:val="20"/>
          <w:szCs w:val="20"/>
          <w:color w:val="auto"/>
        </w:rPr>
      </w:pPr>
    </w:p>
    <w:p>
      <w:pPr>
        <w:jc w:val="both"/>
        <w:ind w:left="340" w:hanging="332"/>
        <w:spacing w:after="0" w:line="25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ind w:left="340" w:hanging="332"/>
        <w:spacing w:after="0" w:line="26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ind w:left="3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EQT Corporation and its affiliates is based upon various construction contracts for pipeline activities. Revenue from EQT Corporation is included in the Oil and Gas segment.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5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b w:val="1"/>
          <w:bCs w:val="1"/>
          <w:color w:val="auto"/>
        </w:rPr>
        <w:t xml:space="preserve">Letters of Credit. </w:t>
      </w:r>
      <w:r>
        <w:rPr>
          <w:rFonts w:ascii="Arial" w:cs="Arial" w:eastAsia="Arial" w:hAnsi="Arial"/>
          <w:sz w:val="14"/>
          <w:szCs w:val="14"/>
          <w:color w:val="auto"/>
        </w:rPr>
        <w:t>In the ordinary course of business, the Company is required to post letters of credit for its insurance carriers, surety bond providers and in support</w:t>
      </w:r>
      <w:r>
        <w:rPr>
          <w:rFonts w:ascii="Arial" w:cs="Arial" w:eastAsia="Arial" w:hAnsi="Arial"/>
          <w:sz w:val="14"/>
          <w:szCs w:val="14"/>
          <w:b w:val="1"/>
          <w:bCs w:val="1"/>
          <w:color w:val="auto"/>
        </w:rPr>
        <w:t xml:space="preserve"> </w:t>
      </w:r>
      <w:r>
        <w:rPr>
          <w:rFonts w:ascii="Arial" w:cs="Arial" w:eastAsia="Arial" w:hAnsi="Arial"/>
          <w:sz w:val="14"/>
          <w:szCs w:val="14"/>
          <w:color w:val="auto"/>
        </w:rPr>
        <w:t>of performance under certain contracts as well as certain obligations associated with the Company’s equity investments,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2018 and December 31, 2017, there were $124.7 million and $157.1 million, respectively, of letters of credit issued under the Company’s Credit Facility. The Company is not aware of any material claims relating to its outstanding letters of credit as of June 30, 2018 or December 31, 2017.</w:t>
      </w:r>
    </w:p>
    <w:p>
      <w:pPr>
        <w:spacing w:after="0" w:line="5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projects in process. These bonds provide a guarantee to the customer that the Company will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3" w:right="2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6"/>
          <w:szCs w:val="16"/>
          <w:color w:val="auto"/>
        </w:rPr>
        <w:t>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June 30, 2018 and December 31, 2017, outstanding performance and payment bonds totaled $108.6 million and $119.7 million, respectively, and estimated costs to complete projects secured by these bonds totaled $43.8 million and $46.0 million as of June 30, 2018 and December 31, 2017, respectively. These amounts do not include performance and payment bonds associated with the Company’s equity investments.</w:t>
      </w:r>
    </w:p>
    <w:p>
      <w:pPr>
        <w:spacing w:after="0" w:line="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From time to time, the Company may participate in selected investment or strategic arrangements to expand its operations,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base or geographic reach, including arrangements that combine the Company’s skills and resources with those of others to allow for the performance of particular projects. The Company holds undivided interests, ranging from 85% to 90%, in multiple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2018, the Company was not aware of circumstances that would reasonably lead to material future claims against it in connection with these arrangements. Included in the Company’s cash balances as of June 30, 2018 and December 31, 2017 are amounts held by entities that are proportionately consolidated totaling $17.9 million and $17.3 million, respectively. These amounts are available to support the operations of those entities, but are not available for the Company’s other operations. Advances on project work associated with the Company’s proportionately consolidated contractual joint ventures, which are reflected within other current liabilities, totaled $10.3 million as of June 30, 2018.</w:t>
      </w:r>
    </w:p>
    <w:p>
      <w:pPr>
        <w:spacing w:after="0" w:line="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other investment arrangements, as discussed in Note 4 - Fair Value of Financial Instruments and Note 15 - Related Party Transactions. The Company may incur costs or provide financing, performance, financial and/or other guarantees to or in connection with these arrangements.</w:t>
      </w:r>
    </w:p>
    <w:p>
      <w:pPr>
        <w:spacing w:after="0" w:line="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June 30, 2018 and December 31, 2017, MasTec’s liability for unpaid claims and associated expenses, including incurred but not reported losses related to these policies, totaled $101.7 million and $106.2 million, respectively, of which $65.6 million and $72.2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$2.5 million and $2.6 million as of June 30, 2018 and December 31, 2017, respectively.</w:t>
      </w:r>
    </w:p>
    <w:p>
      <w:pPr>
        <w:spacing w:after="0" w:line="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is required to post collateral, generally in the form of letters of credit, and provide cash collateral to certain of its insurance carriers and to provide surety bonds in certain states. Insurance-related letters of credit for the Company’s workers’ compensation, general liability and automobile liability policies amounted to $87.8 million and $88.9 million as of June 30, 2018 and December 31, 2017, respectively. In addition, cash collateral deposited with insurance carriers, which is included within other long-term assets, amounted to $1.6 million for these policies as of both June 30, 2018 and December 31, 2017. Outstanding surety bonds related to workers’ compensation self-insurance programs amounted to $15.2 million as of both June 30, 2018 and December 31, 2017.</w:t>
      </w:r>
    </w:p>
    <w:p>
      <w:pPr>
        <w:spacing w:after="0" w:line="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10 - Other Retirement Plans, certain of MasTec’s subsidiaries are party to</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of June 30, 2018,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June 30, 2018 and December 31, 2017,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Other Guarantees. </w:t>
      </w:r>
      <w:r>
        <w:rPr>
          <w:rFonts w:ascii="Arial" w:cs="Arial" w:eastAsia="Arial" w:hAnsi="Arial"/>
          <w:sz w:val="16"/>
          <w:szCs w:val="16"/>
          <w:color w:val="auto"/>
        </w:rPr>
        <w:t>In the ordinary course of its business, from time to time, MasTec guarantees the obligations of its subsidiaries, including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43" w:right="2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6"/>
          <w:szCs w:val="16"/>
          <w:color w:val="auto"/>
        </w:rPr>
        <w:t>for defects shortly after the work is completed. Accrued warranty claims are not, and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color w:val="auto"/>
        </w:rPr>
        <w:t xml:space="preserve">Concentrations of Risk. </w:t>
      </w:r>
      <w:r>
        <w:rPr>
          <w:rFonts w:ascii="Arial" w:cs="Arial" w:eastAsia="Arial" w:hAnsi="Arial"/>
          <w:sz w:val="15"/>
          <w:szCs w:val="15"/>
          <w:color w:val="auto"/>
        </w:rPr>
        <w:t>The Company had approximately 395 customers for the six month period ended June 30, 2018. As of June 30, 2018, three customers each</w:t>
      </w:r>
      <w:r>
        <w:rPr>
          <w:rFonts w:ascii="Arial" w:cs="Arial" w:eastAsia="Arial" w:hAnsi="Arial"/>
          <w:sz w:val="15"/>
          <w:szCs w:val="15"/>
          <w:b w:val="1"/>
          <w:bCs w:val="1"/>
          <w:color w:val="auto"/>
        </w:rPr>
        <w:t xml:space="preserve"> </w:t>
      </w:r>
      <w:r>
        <w:rPr>
          <w:rFonts w:ascii="Arial" w:cs="Arial" w:eastAsia="Arial" w:hAnsi="Arial"/>
          <w:sz w:val="15"/>
          <w:szCs w:val="15"/>
          <w:color w:val="auto"/>
        </w:rPr>
        <w:t>accounted for approximately 39%, 18% and 12%, respectively, of the Company’s consolidated net accounts receivable position, which represents accounts receivable, net, less BIEC, and, as of December 31, 2017, two customers each accounted for approximately 46% and 15%, respectively, of the Company’s consolidated net accounts receivable position. In addition, the Company derived 76% and 84%, respectively, of its revenue from its top ten customers for the three month periods ended June 30, 2018 and 2017, and derived 73% and 79% of its revenue, respectively, from its top ten customers for the six month periods ended June 30, 2018 and 2017.</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from a number of different vendors on a non-exclusive basis, including entities that are associated with members of subsidiary management. For the three month periods ended June 30, 2018 and 2017, related party lease payments for operational facilities and equipment totaled approximately $10.8 million and $14.4 million, respectively, and for the six month periods ended June 30, 2018 and 2017, totaled approximately $18.3 million and $27.1 million, respectively. Payables associated with these related party lease payments totaled approximately $3.0 million and $0.1 million as of June 30, 2018 and December 31, 2017, respectively. Additionally, payments to related parties for various types of supplies and services, including ancillary construction services, project-related site restoration and marketing and business development activities, totaled approximately $4.4 million and $7.9 million for the three month periods ended June 30, 2018 and 2017, respectively, and totaled $13.3 million and $14.5 million for the six month periods ended June 30, 2018 and 2017, respectively. As of June 30, 2018 and December 31, 2017, related amounts payable totaled approximately $14.2 million and $5.2 million, respectively.</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MasTec performs certain construction services for two entities, of which a member of subsidiary management is a minority owner. Revenue from these arrangements totaled approximately $3.6 million and $6.3 million for the three and six month periods ended June 30, 2018, respectively, and related amounts receivable, net of BIEC, totaled approximately $0.3 million and $0.2 million as of June 30, 2018 and December 31, 2017, respectively. In 2017, MasTec acquired an oil and gas pipeline equipment company that was formerly owned by a member of subsidiary management for approximately $40.6 million in cash and an estimated earn-out liability of $59.9 million, as adjusted, of which $5.7 million was paid in the second quarter of 2018. MasTec previously leased equipment from this company. 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$0.7 million, as adjusted. The net assets acquired included notes payable to the former owners totaling approximately $2.6 million, which amount was subsequently repaid.</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rents and leases equipment and purchases equipment supplies used in its business from CCI, in which it has a 15% equity investment. Juan Carlos Mas serves as the chairman of CCI, and a member of management of a MasTec subsidiary is a minority owner. For the three month periods ended June 30, 2018 and 2017, MasTec paid CCI approximately $5.0 million and $11.0 million, net of rebates, respectively, for equipment supplies, rentals, leases and servicing, and for the six month periods ended June 30, 2018 and 2017, MasTec paid CCI approximately $10.9 million and $12.0 million, net of rebates, respectively. Amounts payable to CCI, net of rebates receivable, totaled approximately $14.4 million as of June 30, 2018, and as of December 31, 2017, were de minimis.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June 30, 2018 and 2017, MasTec incurred approximately $1.8 million and $15.0 million, respectively, of expenses under this subcontracting arrangement, and for the six month periods ended June 30, 2018 and 2017, MasTec incurred approximately $6.8 million and $15.5 million, respectively. As of June 30, 2018 and December 31, 2017, related amounts payable totaled approximately $2.3 million and $2.0 million, respectively.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MasTec leases employees to a customer in which Jorge Mas and José R. Mas own a majority interest. For both the three month periods ended June 30, 2018 and 2017, MasTec charged approximately $0.2 million to this customer, and for both the six month periods ended June 30, 2018 and 2017, charged $0.4 million. As of both June 30, 2018 and December 31, 2017, outstanding receivables related to this employee leasing arrangement totaled approximately $0.2 million. The Company also provides satellite communication services to this customer. For both the three month periods ended June 30, 2018 and 2017, revenue from satellite communication services provided to this customer totaled approximately $0.2 million, and for the six month periods ended June 30, 2018 and 2017, totaled approximately $0.5 million and $0.4 million, respectively. As of both June 30, 2018 and December 31, 2017, amounts receivable from this arrangement totaled approximately $0.3 million.</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both the three month periods ended June 30, 2018 and 2017, MasTec paid approximately $0.5 million under this leasing arrangement, and for the six month periods ended June 30, 2018 and 2017, paid approximately $1.1 million and $1.0 million, respectively. As of both June 30, 2018 and December 31, 2017, related amounts payable were de minimis.</w:t>
      </w:r>
    </w:p>
    <w:p>
      <w:pPr>
        <w:spacing w:after="0" w:line="18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Company has a 40% interest in an entity related to a 2017 acquisition that is accounted for as an equity method investment. As of June 30, 2018 and December 31, 2017, advances outstanding from this entity, net, totaled approximately $0.1 million and $0.3 million, respectively.</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Pacer subsidiary has a subcontracting arrangement with a contractual joint venture in which it holds a 35% undivided interest. For both the three month periods ended June 30, 2018 and 2017, revenue recognized by the Company in connection with this arrangement totaled approximately $0.2 million, and for the six month periods ended June 30, 2018 and 2017, totaled approximately $0.4 million and $0.3 million, respectively. As of June 30, 2018 and December 31, 2017, accounts receivable, net of BIEC, from this contractual joint venture totaled approximately $0.1 million and $0.8 million, respectively. Outstanding performance guarantees on behalf of this contractual joint venture, which are based on the original full</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43" w:right="2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6"/>
          <w:szCs w:val="16"/>
          <w:color w:val="auto"/>
        </w:rPr>
        <w:t>contract value of the associated project, totaled Canadian $132.1 million as of both June 30, 2018 and December 31, 2017 (or approximately $100.5 million and $105.1 million, respectively). Additionally, the Company provided project-related financing in connection with this contractual joint venture of approximately $1.5 million and $2.3 million for the three month periods ended June 30, 2018 and 2017, respectively, and approximately $2.1 million and $3.1 million for the six month periods ended June 30, 2018 and 2017, respectively.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The Company made distributions of earnings to holders of its non-controlling interests of $0.6 million in the first quarter of 2018 and $1.3 million in the first quarter of 2017. In October 2017, the Company acquired the remaining non-controlling interests of one of these entities, with which it had a subcontracting arrangement for the performance of ancillary oil and gas construction services, for approximately $21.4 million in cash and an estimated earn-out liability of $10.0 million, as adjusted, of which $4.6 million was paid in the second quarter of 2018.</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first quarter of 2018, Jorge Mas, the Company, and José R. Mas and Juan Carlos Mas, as trustees of the Jorge Mas trust, entered into an amended and restated split dollar life insurance agreement that replaced the prior split dollar agreement with Jorge Mas. Additionally, in the first quarter of 2018, José R. Mas, the Company, and Jorge Mas, Juan Carlos Mas and Patricia Mas, as trustees of the José R. Mas trust, entered into an amended and restated split dollar life insurance agreement that replaced the prior split dollar life insurance agreement with José R. Mas. For details of the amended and restated split dollar life insurance agreements with each of Jorge and José R. Mas, see Note 15 - Related Party Transactions in the Company’s 2017 Form 10-K.</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paid $0.5 million and $0.7 million in the second quarter of 2018 in connection with the current agreements for Jorge Mas and José R. Mas, respectively, and paid $0.5 million and $0.7 million in the second quarter of 2017 in connection with the predecessor agreements for Jorge Mas and José R. Mas, respectively. As of June 30, 2018 and December 31, 2017, life insurance assets associated with these agreements, which amounts are included within other long-term assets, totaled approximately $17.9 million and $16.6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Supplemental Guarantor Condensed Unaudited Consolidating Financial Information</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June 30, 2018,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43"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June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1,556.9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1,617.8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1,309.1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1,366.6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116.2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80.5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80.4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80.5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80.5</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81.7</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June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1,820.0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1,890.2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1,557.9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1,626.3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70.8</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138.8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83.3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81.7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84.1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83.3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81.7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82.3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81.7</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8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3,014.6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2,445.3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236.1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2,603.9</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101.6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131.2</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153.8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106.9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107.1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106.9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107.1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36.4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107.1</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115.3</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2,903.2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3,048.4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2,446.5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2,597.5</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88.3</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135.6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203.7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206.8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122.6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129.5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124.0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122.6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127.9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122.6</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123.6</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79"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June 30, 2018</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2,125.9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270.4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(114.5)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2,281.8</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739.4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1,193.7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1,328.1</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232.8</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1,428.1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4,970.1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1,470.0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(3,286.1)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4,582.2</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1,252.8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1,533.0</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352.9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366.0</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3,076.4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3,151.8</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1,428.1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1,893.7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1,280.1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(3,171.6)</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1,430.4</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1,428.1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4,970.1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1,470.0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(3,286.1)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4,582.2</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2017</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1,536.6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332.9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1,852.4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706.5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1,328.9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178.8</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4,066.6</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963.8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1,280.7</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388.7</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2,427.9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2,633.2</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1,806.4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1,205.5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1,433.4</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4,066.6</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89"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23.2</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(111.1)</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1,623.3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1,638.9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(128.3)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126.4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provided by (used in)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67.7</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40.3</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20.7</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(74.5)</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(149.3)</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1,141.2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1,153.2</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(869.1)</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(41.1)</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financing activities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109.0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228.8</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18.2</w:t>
            </w:r>
          </w:p>
        </w:tc>
      </w:tr>
    </w:tbl>
    <w:p>
      <w:pPr>
        <w:spacing w:after="0" w:line="200" w:lineRule="exact"/>
        <w:rPr>
          <w:sz w:val="20"/>
          <w:szCs w:val="20"/>
          <w:color w:val="auto"/>
        </w:rPr>
      </w:pPr>
    </w:p>
    <w:p>
      <w:pPr>
        <w:sectPr>
          <w:pgSz w:w="11900" w:h="16838" w:orient="portrait"/>
          <w:cols w:equalWidth="0" w:num="1">
            <w:col w:w="11420"/>
          </w:cols>
          <w:pgMar w:left="240" w:top="527"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52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2017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of our business, financial position and results of operations as of and for the three and six month periods ended June 30, 2018 and 2017. This discussion and analysis should be read in conjunction with the condensed unaudited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2017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conventional and renewable power generation; heavy civil and industrial infrastructure. Our customers are primarily in these industries. Including our predecessor companies, we have been in business for almost 90 years. We offer our services primarily under the MasTec service mark and, as of June 30, 2018, we had approximately 20,200 employees and 405 locations. We have been consistently ranked among the top specialty contractors by Engineering News-Record for the past several years.</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Revenue from non-recurring, project specific work may experience greater variability than master service and other service agreement work due to the need to replace the revenue as projects are completed. If we are not able to replace work from completed projects with new project work, we may not be able to maintain our current revenue levels or our current level of capacity and resource utilization. We actively review our backlog of project work and take appropriate action to minimize such exposure.</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as well as operating results by segment and significant customer concentrations.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almost 50% of our June 30, 2018 estimated backlog in 2018. The following table presents 18-month backlog by reportable segment, as of the dates indicated: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3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740" w:type="dxa"/>
            <w:vAlign w:val="bottom"/>
          </w:tcPr>
          <w:p>
            <w:pPr>
              <w:ind w:left="180"/>
              <w:spacing w:after="0"/>
              <w:rPr>
                <w:sz w:val="20"/>
                <w:szCs w:val="20"/>
                <w:color w:val="auto"/>
              </w:rPr>
            </w:pPr>
            <w:r>
              <w:rPr>
                <w:rFonts w:ascii="Arial" w:cs="Arial" w:eastAsia="Arial" w:hAnsi="Arial"/>
                <w:sz w:val="16"/>
                <w:szCs w:val="16"/>
                <w:b w:val="1"/>
                <w:bCs w:val="1"/>
                <w:color w:val="auto"/>
              </w:rPr>
              <w:t>Reportable Segment (in millions):</w:t>
            </w: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1,506</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Electrical Transmission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Power Generation and Industrial</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6740" w:type="dxa"/>
            <w:vAlign w:val="bottom"/>
          </w:tcPr>
          <w:p>
            <w:pPr>
              <w:ind w:left="680"/>
              <w:spacing w:after="0"/>
              <w:rPr>
                <w:sz w:val="20"/>
                <w:szCs w:val="20"/>
                <w:color w:val="auto"/>
              </w:rPr>
            </w:pPr>
            <w:r>
              <w:rPr>
                <w:rFonts w:ascii="Arial" w:cs="Arial" w:eastAsia="Arial" w:hAnsi="Arial"/>
                <w:sz w:val="16"/>
                <w:szCs w:val="16"/>
                <w:color w:val="auto"/>
              </w:rPr>
              <w:t>Estimated 18-month backlog</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7,719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7,551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5,265</w:t>
            </w:r>
          </w:p>
        </w:tc>
      </w:tr>
      <w:tr>
        <w:trPr>
          <w:trHeight w:val="33"/>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50% of our backlog as of June 30, 2018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regulatory factors and/or other project-related factors. These changes could cause estimated revenue to be realized in periods later than originally expected, or not at all. In the past, we have occasionally experienced postponements, cancellations and reductions in expected future work from master service agreements due to changes in our customers’ spending plans, as well as on construction projects, due to market volatility and regulatory factors. There can be no assurance as to our customers’ requirements or the accuracy of our estimates. As a result, our backlog as of any particular date is an uncertain indicator of future revenue and earnings.</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Backlog is not a term recognized under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our condensed unaudited consolidated financial statements, which is incorporated by reference. As of June 30, 2018 total 18-month backlog differed from the amount of our remaining performance obligations due primarily to the inclusion of $3.0 billion of estimates of future revenue under master service and other service agreements within our backlog estimates, as described above, and the exclusion of $0.3 billion of remaining performance obligations in excess of 18 months, which amount is not included in the backlog estimates above. Backlog expected to be realized in 2018 differed from the amount of remaining performance obligations expected to be recognized for the same period due primarily to the inclusion of approximately $0.6 billion of estimates of future revenue under master service and other service agreements that is included within the related backlog estimate.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closely monitor the effects that changes in economic and market conditions may have on our customers. General economic and market conditions can negatively affect demand for our customers’ products and services, which can lead to rationalization of our customers’ capital and maintenance budgets in certain end-markets. Market, regulatory and industry factors could affect demand for our services, including (i) changes to our customers’ capital spending plans; (ii) mergers and acquisitions among the customers we serve; (iii) access to capital for customers in the industries we serve; (iv) new or changing regulatory requirements or other governmental policy uncertainty; (v) economic, market or political developments; and (vi) changes in technology, tax and other incentives. Availability of transportation and transmission capacity and fluctuations in market prices for oil, gas and other fuel sources can also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we strive to maintain our profit margins through productivity improvements and cost reduction programs.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in the first quarter of the year because cold, snowy or wet conditions cause project delays. Revenue in the second quarter is typically higher than in the first quarter, as some projects begin, but continued cold and wet weather can often impact second quarter productivity. The third and fourth quarters are typically the most productive quarters of the year, as a greater number of projects are underway and weather is normally more accommodating to construction projects. In the fourth quarter, many projects tend to be completed by customers seeking to spend their capital budgets before the end of the year, which generally has a positive impact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or natural catastrophes such as hurricanes or other severe weather, making it difficult to predict quarterly revenue and margin variations.</w:t>
      </w:r>
    </w:p>
    <w:p>
      <w:pPr>
        <w:spacing w:after="0" w:line="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impact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period, even if not in total.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93"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During the second quarter of 2018, we performed quantitative assessments of the goodwill associated with certain of our operating segments and of an indefinite-lived pre-qualification intangible asset in conjunction with our quarterly review for indicators of impairment. Based on the results of these assessments, we determined that the estimated fair value of one of the reporting units in our Oil and Gas segment substantially exceeded its carrying value, and that the fair values of a separate reporting unit and of an indefinite-lived pre-qualification intangible asset in our Oil and Gas segment, for which the related goodwill and pre-qualification intangible asset have an aggregate carrying value of approximately $110 million, exceeded their carrying values by approximately 8% and 10%, respectively. Significant changes in the assumptions or estimates used in management’s assessment, such as a reduction in profitability and/or cash flows, could result in non-cash goodwill and indefinite-lived intangible asset impairment charges in the future.</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valuations of goodwill, indefinite-lived intangible assets, acquisition-related contingent consideration and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our condensed unaudited consolidated financial statements, which is incorporated by reference, and to our 2017 Form 10-K for discussion of our significant accounting policies.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9"/>
          </w:tcPr>
          <w:p>
            <w:pPr>
              <w:ind w:left="380"/>
              <w:spacing w:after="0"/>
              <w:rPr>
                <w:sz w:val="20"/>
                <w:szCs w:val="20"/>
                <w:color w:val="auto"/>
              </w:rPr>
            </w:pPr>
            <w:r>
              <w:rPr>
                <w:rFonts w:ascii="Arial" w:cs="Arial" w:eastAsia="Arial" w:hAnsi="Arial"/>
                <w:sz w:val="16"/>
                <w:szCs w:val="16"/>
                <w:b w:val="1"/>
                <w:bCs w:val="1"/>
                <w:color w:val="auto"/>
              </w:rPr>
              <w:t>For the Three Months Ended June 30,</w:t>
            </w:r>
          </w:p>
        </w:tc>
        <w:tc>
          <w:tcPr>
            <w:tcW w:w="120" w:type="dxa"/>
            <w:vAlign w:val="bottom"/>
          </w:tcPr>
          <w:p>
            <w:pPr>
              <w:spacing w:after="0"/>
              <w:rPr>
                <w:sz w:val="18"/>
                <w:szCs w:val="18"/>
                <w:color w:val="auto"/>
              </w:rPr>
            </w:pPr>
          </w:p>
        </w:tc>
        <w:tc>
          <w:tcPr>
            <w:tcW w:w="352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For the Six Months Ended June 30,</w:t>
            </w:r>
          </w:p>
        </w:tc>
      </w:tr>
      <w:tr>
        <w:trPr>
          <w:trHeight w:val="47"/>
        </w:trPr>
        <w:tc>
          <w:tcPr>
            <w:tcW w:w="3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72"/>
              </w:rPr>
              <w:t>2017</w:t>
            </w:r>
          </w:p>
        </w:tc>
      </w:tr>
      <w:tr>
        <w:trPr>
          <w:trHeight w:val="33"/>
        </w:trPr>
        <w:tc>
          <w:tcPr>
            <w:tcW w:w="3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1,617.8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1,890.2</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3,014.6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3,048.4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w w:val="93"/>
              </w:rPr>
              <w:t>Costs of revenue, excluding depreciation and 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1,366.6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84.5 %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1,626.3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86.0 %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2,603.9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2,597.5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85.2 %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131.2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138.8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153.8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206.8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6.8 %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31"/>
        </w:trPr>
        <w:tc>
          <w:tcPr>
            <w:tcW w:w="39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106.9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124.0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4.1 %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Net (loss) income attributable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0.0 %</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6"/>
                <w:szCs w:val="16"/>
                <w:color w:val="auto"/>
              </w:rPr>
              <w:t>Net income attributable to MasTec, Inc.</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122.6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4.0 %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9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ind w:left="40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9"/>
          </w:tcPr>
          <w:p>
            <w:pPr>
              <w:jc w:val="right"/>
              <w:ind w:right="20"/>
              <w:spacing w:after="0"/>
              <w:rPr>
                <w:sz w:val="20"/>
                <w:szCs w:val="20"/>
                <w:color w:val="auto"/>
              </w:rPr>
            </w:pPr>
            <w:r>
              <w:rPr>
                <w:rFonts w:ascii="Arial" w:cs="Arial" w:eastAsia="Arial" w:hAnsi="Arial"/>
                <w:sz w:val="16"/>
                <w:szCs w:val="16"/>
                <w:b w:val="1"/>
                <w:bCs w:val="1"/>
                <w:color w:val="auto"/>
              </w:rPr>
              <w:t>EBITDA and EBITDA Margin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78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9"/>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2"/>
              </w:rPr>
              <w:t>For the Three Months</w:t>
            </w:r>
          </w:p>
        </w:tc>
        <w:tc>
          <w:tcPr>
            <w:tcW w:w="140" w:type="dxa"/>
            <w:vAlign w:val="bottom"/>
          </w:tcPr>
          <w:p>
            <w:pPr>
              <w:spacing w:after="0"/>
              <w:rPr>
                <w:sz w:val="18"/>
                <w:szCs w:val="18"/>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Six Months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gridSpan w:val="8"/>
          </w:tcPr>
          <w:p>
            <w:pPr>
              <w:jc w:val="right"/>
              <w:ind w:right="60"/>
              <w:spacing w:after="0"/>
              <w:rPr>
                <w:sz w:val="20"/>
                <w:szCs w:val="20"/>
                <w:color w:val="auto"/>
              </w:rPr>
            </w:pPr>
            <w:r>
              <w:rPr>
                <w:rFonts w:ascii="Arial" w:cs="Arial" w:eastAsia="Arial" w:hAnsi="Arial"/>
                <w:sz w:val="16"/>
                <w:szCs w:val="16"/>
                <w:b w:val="1"/>
                <w:bCs w:val="1"/>
                <w:color w:val="auto"/>
                <w:w w:val="93"/>
              </w:rPr>
              <w:t>For the 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9"/>
          </w:tcPr>
          <w:p>
            <w:pPr>
              <w:jc w:val="center"/>
              <w:ind w:left="319"/>
              <w:spacing w:after="0"/>
              <w:rPr>
                <w:sz w:val="20"/>
                <w:szCs w:val="20"/>
                <w:color w:val="auto"/>
              </w:rPr>
            </w:pPr>
            <w:r>
              <w:rPr>
                <w:rFonts w:ascii="Arial" w:cs="Arial" w:eastAsia="Arial" w:hAnsi="Arial"/>
                <w:sz w:val="16"/>
                <w:szCs w:val="16"/>
                <w:b w:val="1"/>
                <w:bCs w:val="1"/>
                <w:color w:val="auto"/>
                <w:w w:val="93"/>
              </w:rPr>
              <w:t>For the Six Months Ended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Ended June 30,</w:t>
            </w:r>
          </w:p>
        </w:tc>
        <w:tc>
          <w:tcPr>
            <w:tcW w:w="140" w:type="dxa"/>
            <w:vAlign w:val="bottom"/>
          </w:tcPr>
          <w:p>
            <w:pPr>
              <w:spacing w:after="0"/>
              <w:rPr>
                <w:sz w:val="18"/>
                <w:szCs w:val="18"/>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Ended June 30,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87"/>
              </w:rPr>
              <w:t>June 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Reportable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14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1,245.7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769.3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1,140.4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1,305.8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1,596.2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122.7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155.7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247.9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Electrical</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Transmission</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Power Generation</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and Industrial</w:t>
            </w:r>
          </w:p>
        </w:tc>
        <w:tc>
          <w:tcPr>
            <w:tcW w:w="14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2,899 %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0"/>
        </w:trPr>
        <w:tc>
          <w:tcPr>
            <w:tcW w:w="138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Results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1,617.8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1,890.2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3,014.6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3,048.4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188.7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198.9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293.2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322.4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2018 Compared to Three Months Ended June 30, 2017</w:t>
      </w:r>
    </w:p>
    <w:p>
      <w:pPr>
        <w:spacing w:after="0" w:line="113"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4"/>
          <w:szCs w:val="14"/>
          <w:b w:val="1"/>
          <w:bCs w:val="1"/>
          <w:i w:val="1"/>
          <w:iCs w:val="1"/>
          <w:color w:val="auto"/>
        </w:rPr>
        <w:t>Revenue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 period ended June 30, 2018, consolidated revenue totaled $1,618 million as compared with $1,890 million for the same period in 2017,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decrease of $272 million, or 14%, driven primarily by lower revenue in our Oil and Gas segment, which decreased by $371 million, or 33% and in our Electrical Transmission segment, which decreased by $12 million or 13%. These decreases were offset, in part, by higher revenue in our Power Generation and Industrial segment, which increased by $85 million, or 141%, and in our Communications segment, which increased by $26 million, or 4%. Acquisitions contributed $46 million in incremental revenue for the three month period ended June 30, 2018 as compared with the same period in 2017, and organic revenue decreased by approximately $318 million, or 17%.</w:t>
      </w:r>
    </w:p>
    <w:p>
      <w:pPr>
        <w:spacing w:after="0" w:line="47" w:lineRule="exact"/>
        <w:rPr>
          <w:sz w:val="20"/>
          <w:szCs w:val="20"/>
          <w:color w:val="auto"/>
        </w:rPr>
      </w:pPr>
    </w:p>
    <w:p>
      <w:pPr>
        <w:jc w:val="both"/>
        <w:ind w:firstLine="648"/>
        <w:spacing w:after="0" w:line="355" w:lineRule="auto"/>
        <w:rPr>
          <w:sz w:val="20"/>
          <w:szCs w:val="20"/>
          <w:color w:val="auto"/>
        </w:rPr>
      </w:pPr>
      <w:r>
        <w:rPr>
          <w:rFonts w:ascii="Arial" w:cs="Arial" w:eastAsia="Arial" w:hAnsi="Arial"/>
          <w:sz w:val="14"/>
          <w:szCs w:val="14"/>
          <w:b w:val="1"/>
          <w:bCs w:val="1"/>
          <w:i w:val="1"/>
          <w:iCs w:val="1"/>
          <w:color w:val="auto"/>
        </w:rPr>
        <w:t>Communications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Communications revenue was $619 million for the three month period ended June 30, 2018, as compared with $592 million for the same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 in 2017, an increase of $26 million, or 4%, driven by higher levels of wireline/fiber revenue services, partially offset by a decrease in install-to-the-home revenue.</w:t>
      </w:r>
    </w:p>
    <w:p>
      <w:pPr>
        <w:spacing w:after="0" w:line="10"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$769 million for three month period ended June 30, 2018, as compared with $1,140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 decrease of approximately $371 million, or 33%, due primarily to timing of large long-haul pipeline construction project activity.</w:t>
      </w:r>
    </w:p>
    <w:p>
      <w:pPr>
        <w:spacing w:after="0" w:line="5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$85 million for the three month period ended June 30, 2018 as compared with $97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2017, a decrease of $12 million, or 13%, due to project activity and timing.</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$146 million for the three month period ended June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$61 million for the same period in 2017, an increase of $85 million, or 141%. Organic revenue increased by approximately $40 million, or 65%, and acquisitions contributed $46 million of revenue. The increase in organic revenue was driven primarily by higher levels of renewable power project activity, including biomass facility construction.</w:t>
      </w:r>
    </w:p>
    <w:p>
      <w:pPr>
        <w:spacing w:after="0" w:line="73"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decreased by approximately $2 million, or 88%, for the three month periods ended June 30, 2018 as compared with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2017, due primarily to a decrease in international oil and gas operations.</w:t>
      </w:r>
    </w:p>
    <w:p>
      <w:pPr>
        <w:spacing w:after="0" w:line="5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decreased by $260 million, or 16%, to $1,367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 period ended June 30, 2018 as compared with $1,626 million for the same period in 2017. Lower revenue contributed $234 million of a decrease in costs of revenue, excluding depreciation and amortization, in addition to a decrease of approximately $25 million from improved productivity. Costs of revenue, excluding depreciation and amortization, as a percentage of revenue decreased by approximately 150 basis points, from 86.0% of revenue for the three month period ended June 30, 2017 to 84.5% of revenue for the same period in 2018. The basis point decrease was driven by improved project efficiencies and mix in our Oil and Gas segment as well as in our Communications segment. This basis point decrease was slightly offset by reduced project efficiencies in our Electrical Transmission and Power Generation and Industrial segments.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$52 million, or 3.2% of revenue, for the three month period ended June 30, 2018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$45 million, or 2.4% of revenue, in 2017, an increase of $6 million, or 14%. Acquisitions contributed $3 million of incremental depreciation and amortization for the three month period ended June 30, 2018 as compared with the same period in 2017. As a percentage of revenue, depreciation and amortization increased by 80 basis points, due in part to decreased levels of revenue, as well as acquisition-related depreciation and amortization.</w:t>
      </w:r>
    </w:p>
    <w:p>
      <w:pPr>
        <w:spacing w:after="0" w:line="7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$68 million, or 4.2% of revenue, for the three month period ended June 30,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$71 million, or 3.7% of revenue, for the same period in 2017, a decrease of $3 million, or 5%. Acquisitions contributed $2 million of incremental general and administrative expenses for the three month period ended June 30, 2018 as compared with the same period in 2017. Excluding the effects of acquisitions, administrative expenses decreased by approximately $5 million as compared with the same period in the prior year, primarily due to timing of legal matters and other settlements, offset by an increase in various administrative costs, including incentive and compensation expense and information technology expense. Overall, general and administrative expenses as a percentage of revenue increased by approximately 50 basis points for the three month period ended June 30, 2018 as compared with the same period in the prior year, due primarily to lower levels of revenue.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44" w:right="239" w:bottom="1440" w:gutter="0" w:footer="0" w:header="0"/>
        </w:sectPr>
      </w:pPr>
    </w:p>
    <w:bookmarkStart w:id="32" w:name="page33"/>
    <w:bookmarkEnd w:id="32"/>
    <w:p>
      <w:pPr>
        <w:jc w:val="both"/>
        <w:ind w:firstLine="324"/>
        <w:spacing w:after="0" w:line="315" w:lineRule="auto"/>
        <w:rPr>
          <w:sz w:val="20"/>
          <w:szCs w:val="20"/>
          <w:color w:val="auto"/>
        </w:rPr>
      </w:pPr>
      <w:r>
        <w:rPr>
          <w:rFonts w:ascii="Arial" w:cs="Arial" w:eastAsia="Arial" w:hAnsi="Arial"/>
          <w:sz w:val="14"/>
          <w:szCs w:val="14"/>
          <w:b w:val="1"/>
          <w:bCs w:val="1"/>
          <w:i w:val="1"/>
          <w:iCs w:val="1"/>
          <w:color w:val="auto"/>
        </w:rPr>
        <w:t xml:space="preserve">Interest expense, net. </w:t>
      </w:r>
      <w:r>
        <w:rPr>
          <w:rFonts w:ascii="Arial" w:cs="Arial" w:eastAsia="Arial" w:hAnsi="Arial"/>
          <w:sz w:val="14"/>
          <w:szCs w:val="14"/>
          <w:color w:val="auto"/>
        </w:rPr>
        <w:t>Interest expense, net of interest income, was $21 million, or 1.3% of revenue, for the three month period ended June 30, 2018 as compared with $15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or 0.8% of revenue, in 2017. The increase in interest expense was primarily due to Credit Facility activity, reflecting a combination of higher average balances and higher weighted average interest rates, as well as an increase in discount charges on financing arrangements in the second quarter of 2018 as compared with 2017.</w:t>
      </w:r>
    </w:p>
    <w:p>
      <w:pPr>
        <w:spacing w:after="0" w:line="4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the three month periods ended June 30, 2018 and 2017, equity in earnings from unconsolidated affiliates totaled approximately $6 million and related primarily to our investments in the Waha JVs, which commenced operations in 2017.</w:t>
      </w:r>
    </w:p>
    <w:p>
      <w:pPr>
        <w:spacing w:after="0" w:line="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b w:val="1"/>
          <w:bCs w:val="1"/>
          <w:i w:val="1"/>
          <w:iCs w:val="1"/>
          <w:color w:val="auto"/>
        </w:rPr>
        <w:t xml:space="preserve">Other expense, net. </w:t>
      </w:r>
      <w:r>
        <w:rPr>
          <w:rFonts w:ascii="Arial" w:cs="Arial" w:eastAsia="Arial" w:hAnsi="Arial"/>
          <w:sz w:val="15"/>
          <w:szCs w:val="15"/>
          <w:color w:val="auto"/>
        </w:rPr>
        <w:t>Other expense, net, consists primarily of gains or losses from sales of, or changes in estimated recoveries from, assets and investments,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legal/other settlements and gains or losses from changes to estimated earn-out accruals. For the three month period ended June 30, 2018, other expense, net, included approximately $4 million of expense from changes to estimated earn-out accruals and $1 million of expense related to changes in expected recovery amounts for an investment that is in the final stages of liquidation, offset, in part, by $4 million of gains on sales of equipment, net. For the three month period ended June 30, 2017, other expense, net, included approximately $12 million of expense related to changes in expected recovery amounts for an investment that is in the final stages of liquidation, as well as reduced recovery expectations on a long-term note receivable due to the debtor’s bankruptcy proceedings, partially offset by approximately $9 million of income from changes to estimated earn-out accruals and gains on sales of equipment, net, of $2 million.</w:t>
      </w:r>
    </w:p>
    <w:p>
      <w:pPr>
        <w:spacing w:after="0" w:line="7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$36 million for the three month period ended June 30, 2018 as compared with $55 million for the same period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In the second quarter of 2018, pre-tax income decreased to $116 million as compared with $139 million for the same period in the prior year. Additionally, our effective tax rate decreased to 30.8% for the three month period ended June 30, 2018 from 39.9% for the same period in 2017, primarily as a result of the 2017 Tax Act, which was effective as of January 1, 2018 and reduced the U.S. corporate tax rate from 35% to 21%. The benefit from the Tax Act was offset, in part, by the elimination of certain previously deductible expenses. Our effective tax rate for the three month period ended June 30, 2018 also benefited from the utilization of certain tax credits as compared with the same period in the prior year, offset, in part, by expense of approximately $1 million related to an adjustment to the initial remeasurement of our deferred tax liabilities as a result of the 2017 Tax Act.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$74 million, or 11.9% of revenue, for the three month period ended June 30,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$60 million, or 10.0% of revenue, for the same period in 2017, an increase of approximately $14 million, or 24%. As a percentage of revenue, EBITDA increased by approximately 190 basis points, or $12 million, due primarily to production efficiencies and mix, as well as improved overhead utilization from higher levels of revenue.</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$123 million, or 15.9% of revenue, for the three month period ended June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$154 million, or 13.5% of revenue, for the same period in 2017, a decrease of $31 million, or approximately 20%. Lower revenue contributed a decrease in EBITDA of $50 million, offset, in part, by an increase in EBITDA margins. EBITDA margins increased by approximately 240 basis points for the three month period ended June 30, 2018 as compared with the same period in 2017 due primarily to improved project efficiencies and mix.</w:t>
      </w:r>
    </w:p>
    <w:p>
      <w:pPr>
        <w:spacing w:after="0" w:line="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negative $3 million, or negative 3.2%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2018, as compared with EBITDA of $4 million, or 3.7% of revenue, for the same period in 2017, for a decrease in EBITDA of approximately $6 million, due to a combination of reduced project efficiencies and reduced cost and overhead utilization from lower levels of revenue.</w:t>
      </w:r>
    </w:p>
    <w:p>
      <w:pPr>
        <w:spacing w:after="0" w:line="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Power Generation and Industrial Segment. </w:t>
      </w:r>
      <w:r>
        <w:rPr>
          <w:rFonts w:ascii="Arial" w:cs="Arial" w:eastAsia="Arial" w:hAnsi="Arial"/>
          <w:sz w:val="15"/>
          <w:szCs w:val="15"/>
          <w:color w:val="auto"/>
        </w:rPr>
        <w:t>EBITDA for our Power Generation and Industrial segment was $10 million, or 6.7% of revenue, for the three month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ended June 30, 2018, as compared with EBITDA of $5 million, or 7.8% of revenue, for the same period in 2017, an increase in EBITDA of $5 million, or approximately 110%, due primarily to higher levels of revenue, which contributed an increase in EBITDA of $7 million. As a percentage of revenue, segment EBITDA decreased by approximately 110 basis points, or $2 million, as compared with the same period in the prior year, due primarily to reduced project efficiencies and mix.</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approximately $7 million for the both three month periods ended June 30, 2018 and 2017. Other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EBITDA for both the three month periods ended June 30, 2018 and 2017 included approximately $6 million of equity in earnings from unconsolidated affiliates related to our investments in the Waha JVs, and, for the three month period ended June 30, 2018, Other segment EBITDA included approximately $1 million of income related to a proportionately consolidated non-controlled Canadian joint venture.</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$22 million for the three month period ended June 30, 2018, as compared with EBITDA of negative $30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2017, for an increase in EBITDA of approximately $8 million. Corporate EBITDA for the three month period ended June 30, 2018 included approximately $4 million of expense related to changes in estimated earn-out accruals as compared with $9 million of income from changes to estimated earn-out accruals for the same period in 2017. Corporate EBITDA for the three month period ended June 30, 2018 also included approximately $1 million of expense from changes in expected recovery amounts for an investment that is in the final stages of liquidation, whereas Corporate EBITDA for the same period in the prior year included approximately $12 million of expense related to changes in expected recovery amounts for this investment, as well as reduced recovery expectations on a long-term note receivable due to the debtor’s bankruptcy proceedings. Excluding the effects of these items, other corporate expenses for the three month period ended June 30, 2018 decreased as compared with the same period in the prior year, due primarily to the effect of timing of legal matters and other settlements.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81"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Six Months Ended June 30, 2018 Compared to Six Months Ended June 30, 2017</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2018, consolidated revenue totaled $3,015 million as compared with $3,048 million for the same period in 2017,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approximately $34 million, or 1%, as compared with the same period in 2017. Revenue increases in our Power Generation and Industrial segment of $156 million, or 146%, in our Communications segment of $94 million, or 8%, and in our Electrical Transmission segment of $3 million, or 2%, were offset by a decrease in revenue in our Oil and Gas segment of $290 million, or 18%. Acquisitions contributed $123 million in incremental revenue for the six month period ended June 30, 2018 as compared with the same period in 2017, and organic revenue decreased by approximately $156 million, or 5%.</w:t>
      </w:r>
    </w:p>
    <w:p>
      <w:pPr>
        <w:spacing w:after="0" w:line="7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$1,246 million for the six month period ended June 30, 2018, as compared with $1,152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2017, an increase of $94 million, or 8%. Organic revenue increased by approximately $55 million, or 5%, and acquisitions contributed $39 million of incremental revenue for the six month period ended June 30, 2018 as compared with the same period in 2017. The increase in organic revenue was primarily driven by higher levels of wireline/fiber revenue and storm restoration services, partially offset by a decrease in install-to-the-home revenue.</w:t>
      </w:r>
    </w:p>
    <w:p>
      <w:pPr>
        <w:spacing w:after="0" w:line="59"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$1,306 million for six month period ended June 30, 2018, as compared with $1,596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 decrease of approximately $290 million, or 18%, due primarily to timing of large long-haul pipeline construction project activity.</w:t>
      </w:r>
    </w:p>
    <w:p>
      <w:pPr>
        <w:spacing w:after="0" w:line="5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$199 million for the six month period ended June 30, 2018, as compared with $195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2017, an increase of $3 million, or 2%, due to project activity and timing.</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$264 million for the six month period ended June 30,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$107 million for the same period in 2017, an increase of $156 million, or 146%. Organic revenue increased by approximately $73 million, or 68%, and acquisitions contributed $83 million of revenue. The increase in organic revenue was driven primarily by higher levels of renewable power project activity, including biomass facility construction.</w:t>
      </w:r>
    </w:p>
    <w:p>
      <w:pPr>
        <w:spacing w:after="0" w:line="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decreased by approximately $1 million for the six month period ended June 30, 2018 as compared with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due primarily to a decrease in international oil and gas operations.</w:t>
      </w:r>
    </w:p>
    <w:p>
      <w:pPr>
        <w:spacing w:after="0" w:line="5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$6 million, or 0.2%, to $2,604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six month period ended June 30, 2018 as compared with $2,597 million for the same period in 2017. Costs of revenue, excluding depreciation and amortization, as a percentage of revenue increased by approximately 120 basis points, or $36 million, from 85.2% of revenue for the six month period ended June 30, 2017 to 86.4% of revenue for the same period in 2018. This increase was offset, in part, by a decrease of $29 million for the six month period ended June 30, 2018 as compared with the same period in 2017 from lower levels of revenue. The basis point increase was driven by lower revenue, reduced project efficiencies, closeouts and mix in our Oil and Gas segment for the six month period ended June 30, 2018 as compared with the same period in the prior year, offset, in part, by improved project efficiencies and mix in our Communications segment, including from wireline/fiber and storm restoration services. In addition, costs of revenue, excluding depreciation and amortization for the six month period ended June 30, 2018 included the effect of approximately $1 million of gains on a proportionately consolidated non-controlled Canadian joint venture in our Other segment, which is managed by a third party, and for which we have minimal direct construction involvement, as compared with losses of approximately $7 million for the same period in 2017.</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$102 million, or 3.4% of revenue, for the six month period ended June 30, 2018 as compared with $88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2.9% of revenue, in 2017, an increase of $13 million, or 15%. Acquisitions contributed $7 million of incremental depreciation and amortization for the six month period ended June 30, 2018 as compared with the same period in 2017. As a percentage of revenue, depreciation and amortization increased by 50 basis points, due in part to acquisition-related depreciation and amortization, as well as decreased levels of revenue.</w:t>
      </w:r>
    </w:p>
    <w:p>
      <w:pPr>
        <w:spacing w:after="0" w:line="7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b w:val="1"/>
          <w:bCs w:val="1"/>
          <w:i w:val="1"/>
          <w:iCs w:val="1"/>
          <w:color w:val="auto"/>
        </w:rPr>
        <w:t>General and administrative expenses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and administrative expenses were $131 million, or 4.4% of revenue, for the six month period ended June 30, 2018,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with $136 million, or 4.4% of revenue, for the same period in 2017, a decrease of $4 million, or 3%. Acquisitions contributed $8 million of incremental general and administrative expenses for the six month period ended June 30, 2018 as compared with the same period in 2017. Excluding the effects of acquisitions, administrative expenses decreased by approximately $12 million as compared with the same period in the prior year, due primarily to timing of legal matters and other settlements. Overall, general and administrative expenses as a percentage of revenue were flat for the six month period ended June 30, 2018 as compared with the same period in the prior year.</w:t>
      </w:r>
    </w:p>
    <w:p>
      <w:pPr>
        <w:spacing w:after="0" w:line="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of interest income, was $38 million, or 1.3% of revenue, for the six month period ended June 30, 2018 as compared with $27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0.9% of revenue, in 2017. The increase in interest expense related to Credit Facility activity, reflecting a combination of higher average balances and higher weighted average interest rates, as well as an increase in discount charges on financing arrangements in the first half of 2018 as compared with 2017.</w:t>
      </w:r>
    </w:p>
    <w:p>
      <w:pPr>
        <w:spacing w:after="0" w:line="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 periods ended June 30, 2018 and 2017, equity in earnings from unconsolidated affiliates totaled $11 million and $8 million, respectively, and related primarily to our investments in the Waha JVs, which commenced operations in 2017.</w:t>
      </w:r>
    </w:p>
    <w:p>
      <w:pPr>
        <w:spacing w:after="0" w:line="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consists primarily of gains or losses from sales of, or changes in estimated recoveries from,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certain legal/other settlements and gains or losses from changes to estimated earn-out accruals. For the six month period ended June 30, 2018, other income, net, included approximately $7 million of gains on sales of equipment, net, partially offset by approximately $4 million of expense from changes to estimated earn-out accruals and $1 million of expense related to changes in expected recovery amounts for an investment that is in the final stages of liquidation. For the six month period ended June 30, 2017, other expense, net, included approximately $12 million of expense related to changes in expected recovery amounts for an investment that is in the final stages of liquidation, as well as reduced recovery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77" w:right="239" w:bottom="144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6"/>
          <w:szCs w:val="16"/>
          <w:color w:val="auto"/>
        </w:rPr>
        <w:t>expectations on a long-term note receivable due to the debtor’s bankruptcy proceedings, partially offset by approximately $9 million of income from changes to estimated earn-out accruals and gains on sales of equipment, net, of approximately $2 million.</w:t>
      </w:r>
    </w:p>
    <w:p>
      <w:pPr>
        <w:spacing w:after="0" w:line="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$47 million for the six month period ended June 30, 2018 as compared with $83 million for the same period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In the first half of 2018, pre-tax income decreased to $154 million as compared with $207 million for the same period in the prior year. Additionally, our effective tax rate decreased to 30.5% for the six month period ended June 30, 2018 from 40.0% for the same period in 2017, primarily as a result of the 2017 Tax Act, which was effective as of January 1, 2018 and reduced the U.S. corporate tax rate from 35% to 21%. The benefit from the Tax Act was offset, in part, by the elimination of certain previously deductible expenses. Our effective tax rate for the six month period ended June 30, 2018 also benefited from the utilization of certain tax credits as compared with the same period in the prior year, offset, in part, by expense of approximately $1 million related to an adjustment to the initial remeasurement of our deferred tax liabilities as a result of the 2017 Tax Act.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$156 million, or 12.5% of revenue, for the six month period ended June 30, 2018,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$108 million, or 9.4% of revenue, for the same period in 2017, an increase of approximately $48 million, or 45%. As a percentage of revenue, EBITDA increased by approximately 315 basis points, or $39 million, primarily due to production efficiencies and mix, including storm restoration services, and improved overhead utilization from higher levels of revenue. Higher levels of revenue contributed a $9 million increase in EBITDA as compared with the same period in the prior year.</w:t>
      </w:r>
    </w:p>
    <w:p>
      <w:pPr>
        <w:spacing w:after="0" w:line="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Oil and Gas Segment. </w:t>
      </w:r>
      <w:r>
        <w:rPr>
          <w:rFonts w:ascii="Arial" w:cs="Arial" w:eastAsia="Arial" w:hAnsi="Arial"/>
          <w:sz w:val="15"/>
          <w:szCs w:val="15"/>
          <w:color w:val="auto"/>
        </w:rPr>
        <w:t>EBITDA for our Oil and Gas segment was $156 million, or 11.9% of revenue, for the six month period ended June 30, 2018,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$248 million, or 15.5% of revenue, for the same period in 2017, a decrease in EBITDA of $92 million, or approximately 37%. The decrease in EBITDA as compared with the same period in the prior year was due, in part, to lower revenue, which contributed a decrease in EBITDA of $45 million. As a percentage of revenue, segment EBITDA decreased by approximately 360 basis points as compared with the same period in the prior year due to reduced project efficiencies, closeouts and mix.</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$2 million, or 0.9% of revenue, for the six month period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as compared with EBITDA of $7 million, or 3.5% of revenue, for the same period in 2017, for a decrease in EBITDA of approximately $5 million, or 73%. As a percentage of revenue, segment EBITDA decreased by approximately 250 basis points as compared with the same period in the prior year, due primarily to a combination of reduced project efficiencies and mix.</w:t>
      </w:r>
    </w:p>
    <w:p>
      <w:pPr>
        <w:spacing w:after="0" w:line="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b w:val="1"/>
          <w:bCs w:val="1"/>
          <w:i w:val="1"/>
          <w:iCs w:val="1"/>
          <w:color w:val="auto"/>
        </w:rPr>
        <w:t xml:space="preserve">Power Generation and Industrial Segment. </w:t>
      </w:r>
      <w:r>
        <w:rPr>
          <w:rFonts w:ascii="Arial" w:cs="Arial" w:eastAsia="Arial" w:hAnsi="Arial"/>
          <w:sz w:val="14"/>
          <w:szCs w:val="14"/>
          <w:color w:val="auto"/>
        </w:rPr>
        <w:t>EBITDA for our Power Generation and Industrial segment was $15 million, or 5.5% of revenue, for the six month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 ended June 30, 2018, as compared with EBITDA of $6 million, or 5.2% of revenue, for the same period in 2017, an increase in EBITDA of $9 million, or 162%. Higher revenue contributed an increase in EBITDA of $8 million as compared with the same period in the prior year. As a percentage of revenue, segment EBITDA increased by approximately 35 basis points due to a combination of improved project efficiencies and mix as well as improved cost and overhead utilization due to higher levels of revenue.</w:t>
      </w:r>
    </w:p>
    <w:p>
      <w:pPr>
        <w:spacing w:after="0" w:line="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$13 million for the six month period ended June 30, 2018, as compared with EBITDA of $2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an increase of $11 million, or approximately 750%. Other segment EBITDA for the six month periods ended June 30, 2018 and 2017 included $11 million and $8 million, respectively, of equity in earnings from unconsolidated affiliates related to our investments in the Waha JVs, and approximately $1 million of gains and $7 million of losses, respectively, on a proportionately consolidated non-controlled Canadian joint venture, more fully described above in “Costs of revenue, excluding depreciation and amortization.”</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approximately negative $48 million for the six month period ended June 30, 2018, as compared with EBITDA of negative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2017. Corporate EBITDA for the six month period ended June 30, 2018 included approximately $4 million of expense related to changes in estimated earn-out accruals, as compared with approximately $9 million of income from changes to estimated earn-out accruals for the same period in 2017. Corporate EBITDA for the six month period ended June 30, 2018 also included approximately $1 million of expense from changes in expected recovery amounts for an investment that is in the final stages of liquidation, whereas Corporate EBITDA for the same period in the prior year included approximately $12 million of expense related to changes in expected recovery amounts for this investment, as well as reduced recovery expectations on a long-term note receivable due to the debtor’s bankruptcy proceedings. Excluding the effects of these items, other corporate expenses for the six month period ended June 30, 2018 decreased as compared with the same period in the prior year, due to a reduction in various administrative costs, including incentive and compensation expense and professional fees, as well as the effect of timing of legal matters and other settlements.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See Note 13 - Segments and Related Information in the notes to the condensed unaudited consolidated financial statements, which is incorporated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project results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certain restructuring charges; and, for Adjusted Net Income and Adjusted Diluted Earnings Per Share, the tax effects of the adjusted items, including non-cash stock based compensation expense and the effects of changes in statutory tax rates, including the effects of the 2017 Tax Act. The definitions of EBITDA and Adjusted EBITDA above are not the same as in our Credit Facility or in the indenture governing our notes; therefore, EBITDA and Adjusted EBITDA as presented in this discussion should not be used for purposes of determining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8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our compliance with the covenants contained in our debt instruments.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Additionally, these measures provide a baseline for analyzing trends in our underlying business.</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(dollar amounts in millions). The tables below may contain slight summation differences due to rounding.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9"/>
          </w:tcPr>
          <w:p>
            <w:pPr>
              <w:jc w:val="right"/>
              <w:ind w:right="20"/>
              <w:spacing w:after="0"/>
              <w:rPr>
                <w:sz w:val="20"/>
                <w:szCs w:val="20"/>
                <w:color w:val="auto"/>
              </w:rPr>
            </w:pPr>
            <w:r>
              <w:rPr>
                <w:rFonts w:ascii="Arial" w:cs="Arial" w:eastAsia="Arial" w:hAnsi="Arial"/>
                <w:sz w:val="16"/>
                <w:szCs w:val="16"/>
                <w:b w:val="1"/>
                <w:bCs w:val="1"/>
                <w:color w:val="auto"/>
              </w:rPr>
              <w:t>For the Three Months Ended 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9"/>
          </w:tcPr>
          <w:p>
            <w:pPr>
              <w:jc w:val="right"/>
              <w:ind w:right="80"/>
              <w:spacing w:after="0"/>
              <w:rPr>
                <w:sz w:val="20"/>
                <w:szCs w:val="20"/>
                <w:color w:val="auto"/>
              </w:rPr>
            </w:pPr>
            <w:r>
              <w:rPr>
                <w:rFonts w:ascii="Arial" w:cs="Arial" w:eastAsia="Arial" w:hAnsi="Arial"/>
                <w:sz w:val="16"/>
                <w:szCs w:val="16"/>
                <w:b w:val="1"/>
                <w:bCs w:val="1"/>
                <w:color w:val="auto"/>
              </w:rPr>
              <w:t>For the Six Months Ended June 30,</w:t>
            </w:r>
          </w:p>
        </w:tc>
        <w:tc>
          <w:tcPr>
            <w:tcW w:w="50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7"/>
        </w:trPr>
        <w:tc>
          <w:tcPr>
            <w:tcW w:w="408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106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4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11"/>
          </w:tcPr>
          <w:p>
            <w:pPr>
              <w:ind w:left="30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8"/>
                <w:szCs w:val="18"/>
                <w:color w:val="auto"/>
              </w:rPr>
            </w:pPr>
          </w:p>
        </w:tc>
        <w:tc>
          <w:tcPr>
            <w:tcW w:w="2860" w:type="dxa"/>
            <w:vAlign w:val="bottom"/>
            <w:gridSpan w:val="9"/>
          </w:tcPr>
          <w:p>
            <w:pPr>
              <w:jc w:val="right"/>
              <w:ind w:right="20"/>
              <w:spacing w:after="0"/>
              <w:rPr>
                <w:sz w:val="20"/>
                <w:szCs w:val="20"/>
                <w:color w:val="auto"/>
              </w:rPr>
            </w:pPr>
            <w:r>
              <w:rPr>
                <w:rFonts w:ascii="Arial" w:cs="Arial" w:eastAsia="Arial" w:hAnsi="Arial"/>
                <w:sz w:val="16"/>
                <w:szCs w:val="16"/>
                <w:b w:val="1"/>
                <w:bCs w:val="1"/>
                <w:color w:val="auto"/>
              </w:rPr>
              <w:t>For the Six Months Ended June 30,</w:t>
            </w:r>
          </w:p>
        </w:tc>
        <w:tc>
          <w:tcPr>
            <w:tcW w:w="56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1"/>
        </w:trPr>
        <w:tc>
          <w:tcPr>
            <w:tcW w:w="408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Power Generation and Industrial</w:t>
            </w: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538.5 %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235.2%</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NA</w:t>
            </w: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4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2"/>
              </w:rPr>
              <w:t>For the Three Months Ended June 30,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Net Income (in</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Diluted Earnings</w:t>
            </w: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Per Share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84"/>
        </w:trPr>
        <w:tc>
          <w:tcPr>
            <w:tcW w:w="6060" w:type="dxa"/>
            <w:vAlign w:val="bottom"/>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0.00</w:t>
            </w:r>
          </w:p>
        </w:tc>
      </w:tr>
      <w:tr>
        <w:trPr>
          <w:trHeight w:val="28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Statutory tax rate effects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55"/>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1"/>
              </w:rPr>
              <w:t>For the Six Months Ended June 30,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Net Income (in</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Diluted Earnings</w:t>
            </w: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Per Share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0.18</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51"/>
        </w:trPr>
        <w:tc>
          <w:tcPr>
            <w:tcW w:w="6060" w:type="dxa"/>
            <w:vAlign w:val="bottom"/>
          </w:tcPr>
          <w:p>
            <w:pPr>
              <w:ind w:left="180"/>
              <w:spacing w:after="0"/>
              <w:rPr>
                <w:sz w:val="20"/>
                <w:szCs w:val="20"/>
                <w:color w:val="auto"/>
              </w:rPr>
            </w:pPr>
            <w:r>
              <w:rPr>
                <w:rFonts w:ascii="Arial" w:cs="Arial" w:eastAsia="Arial" w:hAnsi="Arial"/>
                <w:sz w:val="16"/>
                <w:szCs w:val="16"/>
                <w:color w:val="auto"/>
              </w:rPr>
              <w:t>Statutory tax rate effects</w:t>
            </w:r>
          </w:p>
        </w:tc>
        <w:tc>
          <w:tcPr>
            <w:tcW w:w="1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jc w:val="both"/>
        <w:ind w:left="420" w:hanging="412"/>
        <w:spacing w:after="0" w:line="252"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tax effect of the adjusted items that are subject to tax, including the tax effects of share-based compensation expense. Tax effects are determined based on the tax treatment of the related items, the incremental statutory tax rate of the jurisdictions pertaining to each adjustment, and taking into consideration their effect on pre-tax income. For both the three and six month periods ended June 30, 2018, our consolidated effective tax rate, as reported, was 31%, and as adjusted, was 30%. For both the three and six month periods ended June 30, 2017, our consolidated effective tax rate, as reported, was 40%, and as adjusted, was 39%.</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any of which may require our use of cash.</w:t>
      </w:r>
    </w:p>
    <w:p>
      <w:pPr>
        <w:spacing w:after="0" w:line="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six month period ended June 30, 2018, we spent $88 million on capital expenditures, or $74 million, net of asset disposals,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incurred approximately $40 million of equipment purchases under capital lease and other financing arrangements. We estimate that we will spend approximately $120 million on capital expenditures, or approximately $100 million, net of asset disposals, in 2018, and expect to incur approximately $110 million to $130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6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b w:val="1"/>
          <w:bCs w:val="1"/>
          <w:i w:val="1"/>
          <w:iCs w:val="1"/>
          <w:color w:val="auto"/>
        </w:rPr>
        <w:t>Acquisitions and Earn-Out Liabilities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typically utilize cash for business acquisitions and other strategic arrangements, and for the six month period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June 30, 2018, we used $7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June 30, 2018 was approximately $102 million. Of this amount, $16 million represents the liability for earn-out obligations that have been earned. The remainder is management’s estimate of potential earn-out obligations that are contingent upon future performance. Potential future earn-out obligations for acquisitions are measured at their estimated fair value as of the date of acquisition, with subsequent changes in fair value recorded in earnings as a component of other income or expense. For both the three and six month periods ended June 30, 2018, we made payments of $23 million, and for both the three and six month periods ended June 30, 2017, we made payments of $19 million related to earn-out obligations.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06" w:right="239" w:bottom="1440" w:gutter="0" w:footer="0" w:header="0"/>
        </w:sectPr>
      </w:pPr>
    </w:p>
    <w:bookmarkStart w:id="37" w:name="page38"/>
    <w:bookmarkEnd w:id="37"/>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six month period ended June 30, 2018, tax refunds, net of tax payments were approximately $14 million and resulted primarily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utilization of certain tax credits, as well as the tax effect of an increase in tax depreciation. For the six month period ended June 30, 2017, tax payments, net of tax refunds, totaled approximately $77 million. Our tax payments, which are made quarterly, vary with changes in taxable income and earnings based on estimates of full year taxable income activity and estimated tax rates. In December 2017, the 2017 Tax Act was enacted, which included broad tax reforms that are applicable to us. Under the provisions of the 2017 Tax Act, the U.S. corporate tax rate decreased from 35% to 21% effective January 1, 2018.</w:t>
      </w:r>
    </w:p>
    <w:p>
      <w:pPr>
        <w:spacing w:after="0" w:line="84"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June 30, 2018, we expect that substantially all of our CIEB will be billed to customers in the normal course of business within the next twelve months. Total accounts receivable, which consists of contract billings, CIEB and retainage, net of allowance, increased to $2.1 billion as of June 30, 2018 from $1.6 billion as of December 31, 2017 due to timing of collections and an increase in our days sales outstanding, as discussed below.</w:t>
      </w:r>
    </w:p>
    <w:p>
      <w:pPr>
        <w:spacing w:after="0" w:line="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and other liquidity needs for at least the next twelve months.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2018, we had approximately $1,029 million in working capital, defined as current assets less current liabilities, as compared with $889 million as of December 31, 2017, an increase of $140 million. Cash and cash equivalents totaled approximately $21 million and $40 million as of June 30, 2018 and December 31, 2017, respectively.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(111.1)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(149.3)</w:t>
            </w:r>
          </w:p>
        </w:tc>
      </w:tr>
      <w:tr>
        <w:trPr>
          <w:trHeight w:val="33"/>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33"/>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b w:val="1"/>
          <w:bCs w:val="1"/>
          <w:i w:val="1"/>
          <w:iCs w:val="1"/>
          <w:color w:val="auto"/>
        </w:rPr>
        <w:t xml:space="preserve">Operating Activities. </w:t>
      </w:r>
      <w:r>
        <w:rPr>
          <w:rFonts w:ascii="Arial" w:cs="Arial" w:eastAsia="Arial" w:hAnsi="Arial"/>
          <w:sz w:val="14"/>
          <w:szCs w:val="14"/>
          <w:color w:val="auto"/>
        </w:rPr>
        <w:t>Cash flow from operations is primarily influenced by changes in the timing of demand for our services and operating margins, but can also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affected by working capital needs associated with the various types of services we provide. Working capital is affected by changes in accounts receivable, net, accounts payable, accrued expenses and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six month period ended June 30, 2018 was $23 million, as compared with approximately $100 million of cash used in operating activities for the same period in 2017. The increase in cash provided by operating activities was due primarily to decreased investment in project-related working capital from timing of project activity. Net cash provided by operating activities was positively affected by net changes in assets and liabilities, which had a positive effect of $224 million, partially offset by a decrease in net income of $17 million and by a decrease in the effect of non-cash adjustments of $83 million, including from the effect of book to tax timing differences.</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days sales outstanding (“DSO”), net of BIEC, was 103 as of June 30, 2018 as compared with 81 as of December 31, 2017. The increase in DSO, net of BIEC for the six month period ended June 30, 2018 was primarily related to contract assets, including from variable consideration associated with certain large long-haul pipeline construction projects in our Oil and Gas segment that have either recently been completed, or are expected to reach substantial completion in the coming months. DSO, net of BIEC, is calculated as accounts receivable, net, less BIEC, divided by average daily revenue for the most recently completed quarter as of the balance sheet date. DSOs can fluctuate from period to period due to timing of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43" w:right="239" w:bottom="1440" w:gutter="0" w:footer="0" w:header="0"/>
        </w:sectPr>
      </w:pPr>
    </w:p>
    <w:bookmarkStart w:id="38" w:name="page39"/>
    <w:bookmarkEnd w:id="38"/>
    <w:p>
      <w:pPr>
        <w:jc w:val="both"/>
        <w:spacing w:after="0" w:line="275" w:lineRule="auto"/>
        <w:rPr>
          <w:sz w:val="20"/>
          <w:szCs w:val="20"/>
          <w:color w:val="auto"/>
        </w:rPr>
      </w:pPr>
      <w:r>
        <w:rPr>
          <w:rFonts w:ascii="Arial" w:cs="Arial" w:eastAsia="Arial" w:hAnsi="Arial"/>
          <w:sz w:val="16"/>
          <w:szCs w:val="16"/>
          <w:color w:val="auto"/>
        </w:rPr>
        <w:t>we have material amounts due from customers experiencing financial difficulties. We expect to collect substantially all of our outstanding accounts receivable, net, within the next twelve months.</w:t>
      </w:r>
    </w:p>
    <w:p>
      <w:pPr>
        <w:spacing w:after="0" w:line="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decreased by $38 million to $111 million for the six month period ended June 30, 2018 from $149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2017. Cash paid for acquisitions, net, decreased by $31 million for the six month period ended June 30, 2018 from $37 million for the same period in 2017, during which we acquired a wireline/fiber construction contractor. For the six month period ended June 30, 2018, payments for other investments totaled $36 million, of which $25 million related to our equity investment in the Waha JVs and $10 million related to an equity investment in a telecommunications entity. For the six month period ended June 30, 2017, payments for other investments totaled $74 million and related primarily to our equity investment in the Waha JVs. Proceeds from other investments, which related primarily to recoveries from an investment that is in the final stages of liquidation and is being managed by a receiver, decreased by $7 million for the six month period ended June 30, 2018 as compared with the same period in 2017. For the six month period ended June 30, 2018, we spent $88 million on capital expenditures, or $74 million, net of asset disposals, as compared with $57 million, or $49 million, net of asset disposals, for the same period in the prior year, an increase of $25 million.</w:t>
      </w:r>
    </w:p>
    <w:p>
      <w:pPr>
        <w:spacing w:after="0" w:line="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for the six month period ended June 30, 2018 was $68 million, as compared with $229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six month period ended June 30, 2017, a decrease of approximately $161 million. For the six month period ended June 30, 2018, we repurchased 2.7 million shares for a purchase price of $128 million. Credit facility related activity, net, for the six month period ended June 30, 2018, totaled $264 million of borrowings, net of repayments, as compared to $284 million for the six month period ended June 30, 2017, for a decrease in cash provided by financing activities from credit facility-related activities, net, of $20 million. Payments of acquisition-related contingent consideration included within financing activities totaled $16 million for the six month period ended June 30, 2018, as compared with $7 million for the same period in 2017. Total payments of acquisition-related contingent consideration, including payments in excess of acquisition date liabilities, which are classified within operating activities, totaled $23 million and $19 million for the six month periods ended June 30, 2018 and 2017,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secured credit facility (the “Credit Facility”). Aggregate borrowing commitments under the Credit Facility total approximately $1.5 billion, composed of $1.1 billion of revolving commitments and a term loan totaling approximately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which is incorporated by reference, and Note 7 - Debt in the notes to the audited consolidated financial statements included in our 2017 Form 10-K.</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2017 Form 10-K. Also, see Note 16 - Supplemental Guarantor Condensed Unaudited Consolidating Financial Information in the notes to the condensed unaudited consolidated financial statements in this Form 10-Q, which is incorporated by reference.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June 30, 2018.</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2017 Form 10-K. Also see Note 7 - Debt in the notes to the condensed unaudited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investments, including our 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643" w:right="239" w:bottom="1440" w:gutter="0" w:footer="0" w:header="0"/>
        </w:sectPr>
      </w:pPr>
    </w:p>
    <w:bookmarkStart w:id="39" w:name="page40"/>
    <w:bookmarkEnd w:id="39"/>
    <w:p>
      <w:pPr>
        <w:ind w:right="484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74" w:lineRule="auto"/>
        <w:rPr>
          <w:sz w:val="20"/>
          <w:szCs w:val="20"/>
          <w:color w:val="auto"/>
        </w:rPr>
      </w:pPr>
      <w:r>
        <w:rPr>
          <w:rFonts w:ascii="Arial" w:cs="Arial" w:eastAsia="Arial" w:hAnsi="Arial"/>
          <w:sz w:val="15"/>
          <w:szCs w:val="15"/>
          <w:color w:val="auto"/>
        </w:rPr>
        <w:t>As of June 30, 2018,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June 30, 2018, we had $648 million aggregate principal amount of outstanding revolving loans under our Credit Facility with a weighted average interest rate of 3.91% and a term loan with a balance of $387 million with an interest rate of 3.72%. A 100 basis point increase in the applicable interest rates under our credit facilities would have increased our interest expense by approximately $5 million for the six month period ended June 30, 2018.</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2018, our fixed interest rate debt primarily included $400 million aggregate principal amount of 4.875% Senior Notes and $183 million of capital lease obligations, which accrued interest at a weighted average interest rate of approximately 3.8%.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foreign operations are primarily in Canada. Revenue generated from foreign operations represented 2% of our total revenue for the six month period ended June 30, 2018.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or six month periods ended June 30, 2018. Translation gains or losses, which are recorded in other comprehensive income or loss, result from translation of the assets and liabilities of our foreign subsidiaries into U.S. dollars. For the three and six month periods ended June 30, 2018, foreign currency translation losses totaled approximately $1.7 million and $2.2 million, respectively, and related primarily to our Canadian operations.</w:t>
      </w:r>
    </w:p>
    <w:p>
      <w:pPr>
        <w:spacing w:after="0" w:line="8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2018. We may enter into foreign currency derivative contracts in the future to manage such exposure.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condensed unaudited consolidated financial statements, which is incorporated by reference, we have certain investments that may be subject to market risk and could be subject to volatility based on market conditions.</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2018.</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June 30, 2018 that have materially affected, or are reasonably likely to materially affect, the Company’s internal control over financial reporting.</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Legacy Litigation</w:t>
      </w:r>
    </w:p>
    <w:p>
      <w:pPr>
        <w:spacing w:after="0" w:line="117"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2017 Form 10-K.</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There have been no material changes to either the cautionary statement regarding forward-looking statements or to any of the risk factors disclosed in our 2017 Form 10-K, as updated by our Quarterly Report on Form 10-Q.</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801" w:right="239" w:bottom="1440" w:gutter="0" w:footer="0" w:header="0"/>
        </w:sectPr>
      </w:pPr>
    </w:p>
    <w:bookmarkStart w:id="40" w:name="page41"/>
    <w:bookmarkEnd w:id="40"/>
    <w:p>
      <w:pPr>
        <w:spacing w:after="0"/>
        <w:tabs>
          <w:tab w:leader="none" w:pos="78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June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Paid per Share</w:t>
            </w:r>
          </w:p>
        </w:tc>
        <w:tc>
          <w:tcPr>
            <w:tcW w:w="120" w:type="dxa"/>
            <w:vAlign w:val="bottom"/>
            <w:vMerge w:val="restart"/>
          </w:tcPr>
          <w:p>
            <w:pPr>
              <w:spacing w:after="0"/>
              <w:rPr>
                <w:sz w:val="7"/>
                <w:szCs w:val="7"/>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Program </w:t>
            </w:r>
            <w:r>
              <w:rPr>
                <w:rFonts w:ascii="Arial" w:cs="Arial" w:eastAsia="Arial" w:hAnsi="Arial"/>
                <w:sz w:val="21"/>
                <w:szCs w:val="21"/>
                <w:b w:val="1"/>
                <w:bCs w:val="1"/>
                <w:color w:val="auto"/>
                <w:w w:val="90"/>
                <w:vertAlign w:val="superscript"/>
              </w:rPr>
              <w:t>(c)</w:t>
            </w:r>
          </w:p>
        </w:tc>
        <w:tc>
          <w:tcPr>
            <w:tcW w:w="120" w:type="dxa"/>
            <w:vAlign w:val="bottom"/>
          </w:tcPr>
          <w:p>
            <w:pPr>
              <w:spacing w:after="0"/>
              <w:rPr>
                <w:sz w:val="7"/>
                <w:szCs w:val="7"/>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 (b)</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through April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545,565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44.96</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545,565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75,473,156</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May 1 through May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118,913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44.98</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118,653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70,137,502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through June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70,137,502</w:t>
            </w: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664,478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664,218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5" w:lineRule="exact"/>
        <w:rPr>
          <w:sz w:val="20"/>
          <w:szCs w:val="20"/>
          <w:color w:val="auto"/>
        </w:rPr>
      </w:pPr>
    </w:p>
    <w:p>
      <w:pPr>
        <w:ind w:left="420" w:hanging="412"/>
        <w:spacing w:after="0" w:line="26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664,218 shares of common stock repurchased under our 2018 Share Repurchase Program and 260 shares of common stock withheld for income tax purposes in connection with shares issued to certain employees and directors under compensation and benefit programs.</w:t>
      </w: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Except to the extent described in (a) above with respect to share repurchases associated with certain employee and director elections, all shares were acquired in open-market transactions.</w:t>
      </w:r>
    </w:p>
    <w:p>
      <w:pPr>
        <w:spacing w:after="0" w:line="39" w:lineRule="exact"/>
        <w:rPr>
          <w:rFonts w:ascii="Arial" w:cs="Arial" w:eastAsia="Arial" w:hAnsi="Arial"/>
          <w:sz w:val="13"/>
          <w:szCs w:val="13"/>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Purchased pursuant to our $100 million 2018 Share Repurchase Program, which was publicly announced on March 29, 2018 and has no expiration date.</w:t>
      </w:r>
    </w:p>
    <w:p>
      <w:pPr>
        <w:spacing w:after="0" w:line="276"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801" w:right="239" w:bottom="1440" w:gutter="0" w:footer="0" w:header="0"/>
        </w:sectPr>
      </w:pPr>
    </w:p>
    <w:bookmarkStart w:id="41" w:name="page42"/>
    <w:bookmarkEnd w:id="41"/>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August 2, 2018</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2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gridSpan w:val="6"/>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Computation of Ratio of Earnings to Fixed Charges</w:t>
              </w:r>
            </w:hyperlink>
          </w:p>
        </w:tc>
      </w:tr>
      <w:tr>
        <w:trPr>
          <w:trHeight w:val="20"/>
        </w:trPr>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6">
              <w:r>
                <w:rPr>
                  <w:rFonts w:ascii="Arial" w:cs="Arial" w:eastAsia="Arial" w:hAnsi="Arial"/>
                  <w:sz w:val="16"/>
                  <w:szCs w:val="16"/>
                  <w:color w:val="0000FF"/>
                  <w:w w:val="92"/>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Certifications required by Section 906 of the Sarbanes-Oxley Act of 2002</w:t>
              </w:r>
            </w:hyperlink>
          </w:p>
        </w:tc>
        <w:tc>
          <w:tcPr>
            <w:tcW w:w="16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48">
              <w:r>
                <w:rPr>
                  <w:rFonts w:ascii="Arial" w:cs="Arial" w:eastAsia="Arial" w:hAnsi="Arial"/>
                  <w:sz w:val="16"/>
                  <w:szCs w:val="16"/>
                  <w:color w:val="0000FF"/>
                  <w:w w:val="92"/>
                </w:rPr>
                <w:t>Certifications required by Section 906 of the Sarbanes-Oxley Act of 2002</w:t>
              </w:r>
            </w:hyperlink>
          </w:p>
        </w:tc>
        <w:tc>
          <w:tcPr>
            <w:tcW w:w="180" w:type="dxa"/>
            <w:vAlign w:val="bottom"/>
            <w:gridSpan w:val="2"/>
          </w:tcPr>
          <w:p>
            <w:pPr>
              <w:spacing w:after="0"/>
              <w:rPr>
                <w:sz w:val="21"/>
                <w:szCs w:val="21"/>
                <w:color w:val="auto"/>
              </w:rPr>
            </w:pPr>
          </w:p>
        </w:tc>
      </w:tr>
      <w:tr>
        <w:trPr>
          <w:trHeight w:val="285"/>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43"/>
        </w:trPr>
        <w:tc>
          <w:tcPr>
            <w:tcW w:w="1300" w:type="dxa"/>
            <w:vAlign w:val="bottom"/>
            <w:gridSpan w:val="4"/>
          </w:tcPr>
          <w:p>
            <w:pPr>
              <w:spacing w:after="0"/>
              <w:rPr>
                <w:sz w:val="20"/>
                <w:szCs w:val="20"/>
                <w:color w:val="auto"/>
              </w:rPr>
            </w:pPr>
            <w:r>
              <w:rPr>
                <w:rFonts w:ascii="Arial" w:cs="Arial" w:eastAsia="Arial" w:hAnsi="Arial"/>
                <w:sz w:val="16"/>
                <w:szCs w:val="16"/>
                <w:color w:val="auto"/>
              </w:rPr>
              <w:t>______________</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219"/>
          </w:cols>
          <w:pgMar w:left="240" w:top="523"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6"/>
                <w:szCs w:val="16"/>
                <w:b w:val="1"/>
                <w:bCs w:val="1"/>
                <w:color w:val="auto"/>
                <w:w w:val="92"/>
              </w:rPr>
              <w:t>Exhibit 12.1</w:t>
            </w:r>
          </w:p>
        </w:tc>
        <w:tc>
          <w:tcPr>
            <w:tcW w:w="0" w:type="dxa"/>
            <w:vAlign w:val="bottom"/>
          </w:tcPr>
          <w:p>
            <w:pPr>
              <w:spacing w:after="0"/>
              <w:rPr>
                <w:sz w:val="1"/>
                <w:szCs w:val="1"/>
                <w:color w:val="auto"/>
              </w:rPr>
            </w:pPr>
          </w:p>
        </w:tc>
      </w:tr>
      <w:tr>
        <w:trPr>
          <w:trHeight w:val="357"/>
        </w:trPr>
        <w:tc>
          <w:tcPr>
            <w:tcW w:w="3420" w:type="dxa"/>
            <w:vAlign w:val="bottom"/>
          </w:tcPr>
          <w:p>
            <w:pPr>
              <w:spacing w:after="0"/>
              <w:rPr>
                <w:sz w:val="24"/>
                <w:szCs w:val="24"/>
                <w:color w:val="auto"/>
              </w:rPr>
            </w:pPr>
          </w:p>
        </w:tc>
        <w:tc>
          <w:tcPr>
            <w:tcW w:w="49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4980" w:type="dxa"/>
            <w:vAlign w:val="bottom"/>
            <w:gridSpan w:val="2"/>
          </w:tcPr>
          <w:p>
            <w:pPr>
              <w:jc w:val="right"/>
              <w:ind w:right="1419"/>
              <w:spacing w:after="0"/>
              <w:rPr>
                <w:sz w:val="20"/>
                <w:szCs w:val="20"/>
                <w:color w:val="auto"/>
              </w:rPr>
            </w:pPr>
            <w:r>
              <w:rPr>
                <w:rFonts w:ascii="Arial" w:cs="Arial" w:eastAsia="Arial" w:hAnsi="Arial"/>
                <w:sz w:val="16"/>
                <w:szCs w:val="16"/>
                <w:b w:val="1"/>
                <w:bCs w:val="1"/>
                <w:color w:val="auto"/>
              </w:rPr>
              <w:t>(dollar amounts 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4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vMerge w:val="continue"/>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before income taxes</w:t>
            </w:r>
          </w:p>
        </w:tc>
        <w:tc>
          <w:tcPr>
            <w:tcW w:w="49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Add: Fixed charges</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121,311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107,767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Less: Undistributed earnings from equity method investments,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80"/>
              <w:spacing w:after="0"/>
              <w:rPr>
                <w:sz w:val="20"/>
                <w:szCs w:val="20"/>
                <w:color w:val="auto"/>
              </w:rPr>
            </w:pPr>
            <w:r>
              <w:rPr>
                <w:rFonts w:ascii="Arial" w:cs="Arial" w:eastAsia="Arial" w:hAnsi="Arial"/>
                <w:sz w:val="16"/>
                <w:szCs w:val="16"/>
                <w:color w:val="auto"/>
              </w:rPr>
              <w:t>Total earnings</w:t>
            </w:r>
          </w:p>
        </w:tc>
        <w:tc>
          <w:tcPr>
            <w:tcW w:w="47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271,384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charges: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49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38,345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0"/>
              </w:rPr>
              <w:t>Estimate of interest expense within rental expense</w:t>
            </w:r>
          </w:p>
        </w:tc>
        <w:tc>
          <w:tcPr>
            <w:tcW w:w="4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47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121,311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4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40" w:top="55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2,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2,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2018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2,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2018,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2018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2,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2018,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2019-12-28T20:56:06Z</dcterms:created>
  <dcterms:modified xsi:type="dcterms:W3CDTF">2019-12-28T20:56:06Z</dcterms:modified>
</cp:coreProperties>
</file>